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6A85" w:rsidRPr="00A23A50" w:rsidRDefault="00A23A50" w:rsidP="00A23A50">
      <w:pPr>
        <w:pStyle w:val="Ingetavstnd"/>
        <w:rPr>
          <w:rFonts w:ascii="Cambria" w:hAnsi="Cambria"/>
          <w:b/>
          <w:sz w:val="28"/>
          <w:szCs w:val="28"/>
        </w:rPr>
      </w:pPr>
      <w:r w:rsidRPr="00A23A50">
        <w:rPr>
          <w:rFonts w:ascii="Cambria" w:hAnsi="Cambria"/>
          <w:b/>
          <w:sz w:val="28"/>
          <w:szCs w:val="28"/>
        </w:rPr>
        <w:t>Tjäderlekplats 24</w:t>
      </w:r>
    </w:p>
    <w:p w:rsidR="00F30DCA" w:rsidRDefault="005C7236" w:rsidP="00D16FE4">
      <w:pPr>
        <w:rPr>
          <w:rFonts w:ascii="Cambria" w:hAnsi="Cambria"/>
        </w:rPr>
      </w:pPr>
      <w:r>
        <w:rPr>
          <w:rFonts w:ascii="Cambria" w:hAnsi="Cambria"/>
        </w:rPr>
        <w:t xml:space="preserve">En </w:t>
      </w:r>
      <w:r w:rsidR="00BB7090">
        <w:rPr>
          <w:rFonts w:ascii="Cambria" w:hAnsi="Cambria"/>
        </w:rPr>
        <w:t xml:space="preserve">gång en </w:t>
      </w:r>
      <w:r>
        <w:rPr>
          <w:rFonts w:ascii="Cambria" w:hAnsi="Cambria"/>
        </w:rPr>
        <w:t>mycket stor lekplats som innehöll 8-10 tuppar</w:t>
      </w:r>
      <w:r w:rsidR="00D16FE4" w:rsidRPr="00D16FE4">
        <w:rPr>
          <w:rFonts w:ascii="Cambria" w:hAnsi="Cambria"/>
        </w:rPr>
        <w:t>.</w:t>
      </w:r>
      <w:r>
        <w:rPr>
          <w:rFonts w:ascii="Cambria" w:hAnsi="Cambria"/>
        </w:rPr>
        <w:t xml:space="preserve"> Efter avverkningsanmälan </w:t>
      </w:r>
      <w:r w:rsidR="00BB7090">
        <w:rPr>
          <w:rFonts w:ascii="Cambria" w:hAnsi="Cambria"/>
        </w:rPr>
        <w:t xml:space="preserve">på ca 9 ha </w:t>
      </w:r>
      <w:r>
        <w:rPr>
          <w:rFonts w:ascii="Cambria" w:hAnsi="Cambria"/>
        </w:rPr>
        <w:t>centralt i det inre upptagningsområdet gjordes en anpassning</w:t>
      </w:r>
      <w:r w:rsidR="00BB7090">
        <w:rPr>
          <w:rFonts w:ascii="Cambria" w:hAnsi="Cambria"/>
        </w:rPr>
        <w:t xml:space="preserve"> för tjäderhänsyn. Efter hänsynen var tjäderlekplatsen kvar. När hänsynen avverkades något år senare upplöstes tjäderlekplatsen. Ärendet åtalsanmäldes av länsstyrelsen som brott mot miljöbalken, då det enligt länsstyrelsen saknades dispens för åtgärden. Åtalsanmälan lades dock ner.</w:t>
      </w:r>
      <w:r>
        <w:rPr>
          <w:rFonts w:ascii="Cambria" w:hAnsi="Cambria"/>
        </w:rPr>
        <w:t xml:space="preserve"> </w:t>
      </w:r>
    </w:p>
    <w:p w:rsidR="00F30DCA" w:rsidRDefault="00F30DCA">
      <w:pPr>
        <w:rPr>
          <w:rFonts w:ascii="Cambria" w:hAnsi="Cambria"/>
        </w:rPr>
      </w:pPr>
      <w:r w:rsidRPr="00F30DCA">
        <w:rPr>
          <w:rFonts w:ascii="Cambria" w:hAnsi="Cambria"/>
          <w:noProof/>
          <w:lang w:eastAsia="sv-SE"/>
        </w:rPr>
        <w:drawing>
          <wp:inline distT="0" distB="0" distL="0" distR="0">
            <wp:extent cx="2790079" cy="2762072"/>
            <wp:effectExtent l="0" t="0" r="0" b="635"/>
            <wp:docPr id="1" name="Bildobjekt 1" descr="C:\Users\Christer Johansson\Documents\Tjäderprojektet\RAPPORTEN Tjäder som modellart\21 Brattamossen\Baskar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rister Johansson\Documents\Tjäderprojektet\RAPPORTEN Tjäder som modellart\21 Brattamossen\Baskarta.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808248" cy="2780059"/>
                    </a:xfrm>
                    <a:prstGeom prst="rect">
                      <a:avLst/>
                    </a:prstGeom>
                    <a:noFill/>
                    <a:ln>
                      <a:noFill/>
                    </a:ln>
                  </pic:spPr>
                </pic:pic>
              </a:graphicData>
            </a:graphic>
          </wp:inline>
        </w:drawing>
      </w:r>
      <w:r>
        <w:rPr>
          <w:rFonts w:ascii="Cambria" w:hAnsi="Cambria"/>
        </w:rPr>
        <w:t xml:space="preserve"> </w:t>
      </w:r>
      <w:r w:rsidRPr="00F30DCA">
        <w:rPr>
          <w:rFonts w:ascii="Cambria" w:hAnsi="Cambria"/>
          <w:noProof/>
          <w:lang w:eastAsia="sv-SE"/>
        </w:rPr>
        <w:drawing>
          <wp:inline distT="0" distB="0" distL="0" distR="0">
            <wp:extent cx="2813050" cy="2770907"/>
            <wp:effectExtent l="0" t="0" r="6350" b="0"/>
            <wp:docPr id="2" name="Bildobjekt 2" descr="C:\Users\Christer Johansson\Documents\Tjäderprojektet\RAPPORTEN Tjäder som modellart\21 Brattamossen\Satelli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rister Johansson\Documents\Tjäderprojektet\RAPPORTEN Tjäder som modellart\21 Brattamossen\Satellit.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19274" cy="2777038"/>
                    </a:xfrm>
                    <a:prstGeom prst="rect">
                      <a:avLst/>
                    </a:prstGeom>
                    <a:noFill/>
                    <a:ln>
                      <a:noFill/>
                    </a:ln>
                  </pic:spPr>
                </pic:pic>
              </a:graphicData>
            </a:graphic>
          </wp:inline>
        </w:drawing>
      </w:r>
    </w:p>
    <w:p w:rsidR="00F30DCA" w:rsidRDefault="00BB7090">
      <w:pPr>
        <w:rPr>
          <w:rFonts w:ascii="Cambria" w:hAnsi="Cambria"/>
        </w:rPr>
      </w:pPr>
      <w:r>
        <w:rPr>
          <w:rFonts w:ascii="Cambria" w:hAnsi="Cambria"/>
        </w:rPr>
        <w:t xml:space="preserve">Enligt habitatkarta och satellitkarta över tidigare upptagningsområde finns </w:t>
      </w:r>
      <w:r w:rsidR="00576254">
        <w:rPr>
          <w:rFonts w:ascii="Cambria" w:hAnsi="Cambria"/>
        </w:rPr>
        <w:t xml:space="preserve">tjäderhabitat kvar i upptagningsområdet, men uppsplittrat av kalhyggen, vilket är speciellt påtagligt i det inre upptagningsområdet. </w:t>
      </w:r>
      <w:r>
        <w:rPr>
          <w:rFonts w:ascii="Cambria" w:hAnsi="Cambria"/>
        </w:rPr>
        <w:t xml:space="preserve"> </w:t>
      </w:r>
    </w:p>
    <w:p w:rsidR="00F30DCA" w:rsidRDefault="00CD2A02">
      <w:pPr>
        <w:rPr>
          <w:rFonts w:ascii="Cambria" w:hAnsi="Cambria"/>
        </w:rPr>
      </w:pPr>
      <w:r>
        <w:rPr>
          <w:rFonts w:ascii="Cambria" w:hAnsi="Cambria"/>
          <w:noProof/>
          <w:lang w:eastAsia="sv-SE"/>
        </w:rPr>
        <mc:AlternateContent>
          <mc:Choice Requires="wps">
            <w:drawing>
              <wp:anchor distT="0" distB="0" distL="114300" distR="114300" simplePos="0" relativeHeight="251659264" behindDoc="0" locked="0" layoutInCell="1" allowOverlap="1">
                <wp:simplePos x="0" y="0"/>
                <wp:positionH relativeFrom="column">
                  <wp:posOffset>3570605</wp:posOffset>
                </wp:positionH>
                <wp:positionV relativeFrom="paragraph">
                  <wp:posOffset>917575</wp:posOffset>
                </wp:positionV>
                <wp:extent cx="857250" cy="850900"/>
                <wp:effectExtent l="19050" t="19050" r="19050" b="25400"/>
                <wp:wrapNone/>
                <wp:docPr id="10" name="Ellips 10"/>
                <wp:cNvGraphicFramePr/>
                <a:graphic xmlns:a="http://schemas.openxmlformats.org/drawingml/2006/main">
                  <a:graphicData uri="http://schemas.microsoft.com/office/word/2010/wordprocessingShape">
                    <wps:wsp>
                      <wps:cNvSpPr/>
                      <wps:spPr>
                        <a:xfrm>
                          <a:off x="0" y="0"/>
                          <a:ext cx="857250" cy="850900"/>
                        </a:xfrm>
                        <a:prstGeom prst="ellipse">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890BD57" id="Ellips 10" o:spid="_x0000_s1026" style="position:absolute;margin-left:281.15pt;margin-top:72.25pt;width:67.5pt;height:6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" filled="f" strokecolor="red" strokeweight="3pt">
                <v:stroke joinstyle="miter"/>
              </v:oval>
            </w:pict>
          </mc:Fallback>
        </mc:AlternateContent>
      </w:r>
      <w:r w:rsidR="00F30DCA" w:rsidRPr="00F30DCA">
        <w:rPr>
          <w:rFonts w:ascii="Cambria" w:hAnsi="Cambria"/>
          <w:noProof/>
          <w:lang w:eastAsia="sv-SE"/>
        </w:rPr>
        <w:drawing>
          <wp:inline distT="0" distB="0" distL="0" distR="0">
            <wp:extent cx="2789555" cy="2789555"/>
            <wp:effectExtent l="0" t="0" r="0" b="0"/>
            <wp:docPr id="3" name="Bildobjekt 3" descr="C:\Users\Christer Johansson\Documents\Tjäderprojektet\RAPPORTEN Tjäder som modellart\21 Brattamossen\Inre upptag habit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hrister Johansson\Documents\Tjäderprojektet\RAPPORTEN Tjäder som modellart\21 Brattamossen\Inre upptag habitat.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89555" cy="2789555"/>
                    </a:xfrm>
                    <a:prstGeom prst="rect">
                      <a:avLst/>
                    </a:prstGeom>
                    <a:noFill/>
                    <a:ln>
                      <a:noFill/>
                    </a:ln>
                  </pic:spPr>
                </pic:pic>
              </a:graphicData>
            </a:graphic>
          </wp:inline>
        </w:drawing>
      </w:r>
      <w:r w:rsidR="00F30DCA">
        <w:rPr>
          <w:rFonts w:ascii="Cambria" w:hAnsi="Cambria"/>
        </w:rPr>
        <w:t xml:space="preserve"> </w:t>
      </w:r>
      <w:r w:rsidR="00F30DCA" w:rsidRPr="00F30DCA">
        <w:rPr>
          <w:rFonts w:ascii="Cambria" w:hAnsi="Cambria"/>
          <w:noProof/>
          <w:lang w:eastAsia="sv-SE"/>
        </w:rPr>
        <w:drawing>
          <wp:inline distT="0" distB="0" distL="0" distR="0">
            <wp:extent cx="2832100" cy="2789670"/>
            <wp:effectExtent l="0" t="0" r="6350" b="0"/>
            <wp:docPr id="4" name="Bildobjekt 4" descr="C:\Users\Christer Johansson\Documents\Tjäderprojektet\RAPPORTEN Tjäder som modellart\21 Brattamossen\Satelli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hrister Johansson\Documents\Tjäderprojektet\RAPPORTEN Tjäder som modellart\21 Brattamossen\Satellit.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47870" cy="2805204"/>
                    </a:xfrm>
                    <a:prstGeom prst="rect">
                      <a:avLst/>
                    </a:prstGeom>
                    <a:noFill/>
                    <a:ln>
                      <a:noFill/>
                    </a:ln>
                  </pic:spPr>
                </pic:pic>
              </a:graphicData>
            </a:graphic>
          </wp:inline>
        </w:drawing>
      </w:r>
    </w:p>
    <w:p w:rsidR="00BB7090" w:rsidRDefault="00BB7090" w:rsidP="00BB7090">
      <w:pPr>
        <w:rPr>
          <w:rFonts w:ascii="Cambria" w:hAnsi="Cambria"/>
        </w:rPr>
      </w:pPr>
      <w:r w:rsidRPr="00BB7090">
        <w:rPr>
          <w:rFonts w:ascii="Cambria" w:hAnsi="Cambria"/>
        </w:rPr>
        <w:t>Enligt habitatkarta och satellitkarta över dagsläget</w:t>
      </w:r>
      <w:r w:rsidR="00576254">
        <w:rPr>
          <w:rFonts w:ascii="Cambria" w:hAnsi="Cambria"/>
        </w:rPr>
        <w:t>. S</w:t>
      </w:r>
      <w:r w:rsidRPr="00BB7090">
        <w:rPr>
          <w:rFonts w:ascii="Cambria" w:hAnsi="Cambria"/>
        </w:rPr>
        <w:t xml:space="preserve">tora delar av det </w:t>
      </w:r>
      <w:r w:rsidR="00576254">
        <w:rPr>
          <w:rFonts w:ascii="Cambria" w:hAnsi="Cambria"/>
        </w:rPr>
        <w:t>inre</w:t>
      </w:r>
      <w:r w:rsidRPr="00BB7090">
        <w:rPr>
          <w:rFonts w:ascii="Cambria" w:hAnsi="Cambria"/>
        </w:rPr>
        <w:t xml:space="preserve"> upptagningsområdet </w:t>
      </w:r>
      <w:r w:rsidR="00576254">
        <w:rPr>
          <w:rFonts w:ascii="Cambria" w:hAnsi="Cambria"/>
        </w:rPr>
        <w:t xml:space="preserve">är </w:t>
      </w:r>
      <w:r w:rsidRPr="00BB7090">
        <w:rPr>
          <w:rFonts w:ascii="Cambria" w:hAnsi="Cambria"/>
        </w:rPr>
        <w:t xml:space="preserve">avverkat (ljus färg). </w:t>
      </w:r>
      <w:r w:rsidR="00576254">
        <w:rPr>
          <w:rFonts w:ascii="Cambria" w:hAnsi="Cambria"/>
        </w:rPr>
        <w:t xml:space="preserve">Minst 50% av det inre upptagningsområdet består av tjäderovänlig mark. Den slutliga upplösningen av tjäderlekplatsen </w:t>
      </w:r>
      <w:r w:rsidR="00CD2A02">
        <w:rPr>
          <w:rFonts w:ascii="Cambria" w:hAnsi="Cambria"/>
        </w:rPr>
        <w:t>skedde när hänsynen avverkades som togs vid den 9 ha stora</w:t>
      </w:r>
      <w:r w:rsidR="00576254">
        <w:rPr>
          <w:rFonts w:ascii="Cambria" w:hAnsi="Cambria"/>
        </w:rPr>
        <w:t xml:space="preserve"> </w:t>
      </w:r>
      <w:r w:rsidR="00CD2A02">
        <w:rPr>
          <w:rFonts w:ascii="Cambria" w:hAnsi="Cambria"/>
        </w:rPr>
        <w:t>avverkningsanmälan, se röd ring i högar bilden. Mer om detta nedan.</w:t>
      </w:r>
    </w:p>
    <w:p w:rsidR="00CD2A02" w:rsidRDefault="00CD2A02" w:rsidP="00BB7090">
      <w:pPr>
        <w:rPr>
          <w:rFonts w:ascii="Cambria" w:hAnsi="Cambria"/>
        </w:rPr>
      </w:pPr>
    </w:p>
    <w:p w:rsidR="00F30DCA" w:rsidRDefault="00022D89">
      <w:pPr>
        <w:rPr>
          <w:rFonts w:ascii="Cambria" w:hAnsi="Cambria"/>
        </w:rPr>
      </w:pPr>
      <w:r w:rsidRPr="00022D89">
        <w:rPr>
          <w:rFonts w:ascii="Cambria" w:hAnsi="Cambria"/>
          <w:noProof/>
          <w:lang w:eastAsia="sv-SE"/>
        </w:rPr>
        <w:lastRenderedPageBreak/>
        <w:drawing>
          <wp:inline distT="0" distB="0" distL="0" distR="0">
            <wp:extent cx="5760720" cy="2971962"/>
            <wp:effectExtent l="0" t="0" r="0" b="0"/>
            <wp:docPr id="12" name="Bildobjekt 12" descr="C:\Users\Christer Johansson\Documents\Tjäderprojektet\RAPPORTEN Tjäder som modellart\21 Brattamossen\Brattamossen_avverkning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Christer Johansson\Documents\Tjäderprojektet\RAPPORTEN Tjäder som modellart\21 Brattamossen\Brattamossen_avverkning (2).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720" cy="2971962"/>
                    </a:xfrm>
                    <a:prstGeom prst="rect">
                      <a:avLst/>
                    </a:prstGeom>
                    <a:noFill/>
                    <a:ln>
                      <a:noFill/>
                    </a:ln>
                  </pic:spPr>
                </pic:pic>
              </a:graphicData>
            </a:graphic>
          </wp:inline>
        </w:drawing>
      </w:r>
    </w:p>
    <w:p w:rsidR="00F30DCA" w:rsidRDefault="00D16FE4" w:rsidP="00D16FE4">
      <w:pPr>
        <w:rPr>
          <w:rFonts w:ascii="Cambria" w:hAnsi="Cambria"/>
        </w:rPr>
      </w:pPr>
      <w:r w:rsidRPr="00D16FE4">
        <w:rPr>
          <w:rFonts w:ascii="Cambria" w:hAnsi="Cambria"/>
        </w:rPr>
        <w:t xml:space="preserve">Grönt rutnät indikerar den första, tjäderanpassade avverkningen där man lämnade ett hänsynsområde närmast lekplatsen. Efter denna avverkning fanns tjädrarna kvar. Rött rutnät indikerar den andra avverkningen där man alltså tog bort hänsynsområdet. Röd cirkel </w:t>
      </w:r>
      <w:r w:rsidR="00CD2A02">
        <w:rPr>
          <w:rFonts w:ascii="Cambria" w:hAnsi="Cambria"/>
        </w:rPr>
        <w:t xml:space="preserve">visar </w:t>
      </w:r>
      <w:r w:rsidRPr="00D16FE4">
        <w:rPr>
          <w:rFonts w:ascii="Cambria" w:hAnsi="Cambria"/>
        </w:rPr>
        <w:t>lekplats</w:t>
      </w:r>
      <w:r w:rsidR="00CD2A02">
        <w:rPr>
          <w:rFonts w:ascii="Cambria" w:hAnsi="Cambria"/>
        </w:rPr>
        <w:t>områdets utbredning</w:t>
      </w:r>
      <w:r w:rsidRPr="00D16FE4">
        <w:rPr>
          <w:rFonts w:ascii="Cambria" w:hAnsi="Cambria"/>
        </w:rPr>
        <w:t>.</w:t>
      </w:r>
    </w:p>
    <w:p w:rsidR="00D16FE4" w:rsidRDefault="00022D89" w:rsidP="00D16FE4">
      <w:pPr>
        <w:rPr>
          <w:rFonts w:ascii="Cambria" w:hAnsi="Cambria"/>
        </w:rPr>
      </w:pPr>
      <w:r w:rsidRPr="00022D89">
        <w:rPr>
          <w:rFonts w:ascii="Cambria" w:hAnsi="Cambria"/>
          <w:noProof/>
          <w:lang w:eastAsia="sv-SE"/>
        </w:rPr>
        <w:drawing>
          <wp:inline distT="0" distB="0" distL="0" distR="0">
            <wp:extent cx="5760720" cy="3471279"/>
            <wp:effectExtent l="0" t="0" r="0" b="0"/>
            <wp:docPr id="11" name="Bildobjekt 11" descr="C:\Users\Christer Johansson\Documents\Tjäderprojektet\RAPPORTEN Tjäder som modellart\21 Brattamossen\Kartbilaga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Christer Johansson\Documents\Tjäderprojektet\RAPPORTEN Tjäder som modellart\21 Brattamossen\Kartbilaga (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3471279"/>
                    </a:xfrm>
                    <a:prstGeom prst="rect">
                      <a:avLst/>
                    </a:prstGeom>
                    <a:noFill/>
                    <a:ln>
                      <a:noFill/>
                    </a:ln>
                  </pic:spPr>
                </pic:pic>
              </a:graphicData>
            </a:graphic>
          </wp:inline>
        </w:drawing>
      </w:r>
    </w:p>
    <w:p w:rsidR="00D16FE4" w:rsidRPr="00D16FE4" w:rsidRDefault="00022D89" w:rsidP="00D16FE4">
      <w:pPr>
        <w:rPr>
          <w:rFonts w:ascii="Cambria" w:hAnsi="Cambria"/>
        </w:rPr>
      </w:pPr>
      <w:r>
        <w:rPr>
          <w:rFonts w:ascii="Cambria" w:hAnsi="Cambria"/>
        </w:rPr>
        <w:t xml:space="preserve">Ur hänsynsbeskrivningen: </w:t>
      </w:r>
      <w:r w:rsidR="00D16FE4" w:rsidRPr="00D16FE4">
        <w:rPr>
          <w:rFonts w:ascii="Cambria" w:hAnsi="Cambria"/>
        </w:rPr>
        <w:t>Skog</w:t>
      </w:r>
      <w:r>
        <w:rPr>
          <w:rFonts w:ascii="Cambria" w:hAnsi="Cambria"/>
        </w:rPr>
        <w:t>en</w:t>
      </w:r>
      <w:r w:rsidR="00D16FE4" w:rsidRPr="00D16FE4">
        <w:rPr>
          <w:rFonts w:ascii="Cambria" w:hAnsi="Cambria"/>
        </w:rPr>
        <w:t xml:space="preserve"> består </w:t>
      </w:r>
      <w:r>
        <w:rPr>
          <w:rFonts w:ascii="Cambria" w:hAnsi="Cambria"/>
        </w:rPr>
        <w:t xml:space="preserve">av </w:t>
      </w:r>
      <w:r w:rsidR="00D16FE4" w:rsidRPr="00D16FE4">
        <w:rPr>
          <w:rFonts w:ascii="Cambria" w:hAnsi="Cambria"/>
        </w:rPr>
        <w:t>70 % gran och 30 % tall med underväxt av gran.</w:t>
      </w:r>
      <w:r>
        <w:rPr>
          <w:rFonts w:ascii="Cambria" w:hAnsi="Cambria"/>
        </w:rPr>
        <w:t xml:space="preserve"> F</w:t>
      </w:r>
      <w:r w:rsidR="00D16FE4" w:rsidRPr="00D16FE4">
        <w:rPr>
          <w:rFonts w:ascii="Cambria" w:hAnsi="Cambria"/>
        </w:rPr>
        <w:t xml:space="preserve">ältskiktet rikligt med blåbärsris. </w:t>
      </w:r>
      <w:r w:rsidR="00D16FE4" w:rsidRPr="00D16FE4">
        <w:rPr>
          <w:rFonts w:ascii="Cambria" w:hAnsi="Cambria"/>
          <w:b/>
        </w:rPr>
        <w:t>Område A:</w:t>
      </w:r>
      <w:r w:rsidR="00D16FE4" w:rsidRPr="00D16FE4">
        <w:rPr>
          <w:rFonts w:ascii="Cambria" w:hAnsi="Cambria"/>
        </w:rPr>
        <w:t xml:space="preserve"> Ingen åtgärd. </w:t>
      </w:r>
      <w:r w:rsidR="00D16FE4" w:rsidRPr="00D16FE4">
        <w:rPr>
          <w:rFonts w:ascii="Cambria" w:hAnsi="Cambria"/>
          <w:b/>
        </w:rPr>
        <w:t xml:space="preserve">Område B:  </w:t>
      </w:r>
      <w:r w:rsidR="00D16FE4" w:rsidRPr="00D16FE4">
        <w:rPr>
          <w:rFonts w:ascii="Cambria" w:hAnsi="Cambria"/>
        </w:rPr>
        <w:t xml:space="preserve">Plockhuggning av skadade granar för att försöka förhindra mer angrepp av granbarkborre, för övrigt ingen åtgärd. </w:t>
      </w:r>
      <w:r w:rsidR="00D16FE4" w:rsidRPr="00D16FE4">
        <w:rPr>
          <w:rFonts w:ascii="Cambria" w:hAnsi="Cambria"/>
          <w:b/>
        </w:rPr>
        <w:t>Område C:</w:t>
      </w:r>
      <w:r w:rsidR="00D16FE4" w:rsidRPr="00D16FE4">
        <w:rPr>
          <w:rFonts w:ascii="Cambria" w:hAnsi="Cambria"/>
        </w:rPr>
        <w:t xml:space="preserve"> Ingen hyggesrensning bör utföras. Yngre grandungar förstärkt med äldre tallar och granar, lämnas på lämplig plats. Bra om fröträd lämnas samt att förstärka skyddszoner mot impediment. Undvik att fälla in och lämna kvar avverkningsrester i område A.  </w:t>
      </w:r>
    </w:p>
    <w:p w:rsidR="00D16FE4" w:rsidRPr="00D16FE4" w:rsidRDefault="00D16FE4" w:rsidP="00D16FE4">
      <w:pPr>
        <w:rPr>
          <w:rFonts w:ascii="Cambria" w:hAnsi="Cambria"/>
        </w:rPr>
      </w:pPr>
    </w:p>
    <w:p w:rsidR="00D16FE4" w:rsidRDefault="00D16FE4" w:rsidP="00D16FE4">
      <w:pPr>
        <w:rPr>
          <w:rFonts w:ascii="Cambria" w:hAnsi="Cambria"/>
        </w:rPr>
      </w:pPr>
      <w:r w:rsidRPr="00D16FE4">
        <w:rPr>
          <w:rFonts w:ascii="Cambria" w:hAnsi="Cambria"/>
          <w:noProof/>
          <w:lang w:eastAsia="sv-SE"/>
        </w:rPr>
        <w:lastRenderedPageBreak/>
        <w:drawing>
          <wp:inline distT="0" distB="0" distL="0" distR="0">
            <wp:extent cx="4718050" cy="2540000"/>
            <wp:effectExtent l="0" t="0" r="6350" b="0"/>
            <wp:docPr id="7"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18050" cy="2540000"/>
                    </a:xfrm>
                    <a:prstGeom prst="rect">
                      <a:avLst/>
                    </a:prstGeom>
                    <a:noFill/>
                    <a:ln>
                      <a:noFill/>
                    </a:ln>
                  </pic:spPr>
                </pic:pic>
              </a:graphicData>
            </a:graphic>
          </wp:inline>
        </w:drawing>
      </w:r>
    </w:p>
    <w:p w:rsidR="00D16FE4" w:rsidRDefault="00D16FE4" w:rsidP="00D16FE4">
      <w:pPr>
        <w:rPr>
          <w:rFonts w:ascii="Cambria" w:hAnsi="Cambria"/>
        </w:rPr>
      </w:pPr>
      <w:r w:rsidRPr="00D16FE4">
        <w:rPr>
          <w:rFonts w:ascii="Cambria" w:hAnsi="Cambria"/>
          <w:noProof/>
          <w:lang w:eastAsia="sv-SE"/>
        </w:rPr>
        <w:drawing>
          <wp:inline distT="0" distB="0" distL="0" distR="0">
            <wp:extent cx="4744306" cy="2724150"/>
            <wp:effectExtent l="0" t="0" r="0" b="0"/>
            <wp:docPr id="8"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53117" cy="2729209"/>
                    </a:xfrm>
                    <a:prstGeom prst="rect">
                      <a:avLst/>
                    </a:prstGeom>
                    <a:noFill/>
                    <a:ln>
                      <a:noFill/>
                    </a:ln>
                  </pic:spPr>
                </pic:pic>
              </a:graphicData>
            </a:graphic>
          </wp:inline>
        </w:drawing>
      </w:r>
    </w:p>
    <w:p w:rsidR="00022D89" w:rsidRDefault="00022D89" w:rsidP="00D16FE4">
      <w:pPr>
        <w:rPr>
          <w:rFonts w:ascii="Cambria" w:hAnsi="Cambria"/>
        </w:rPr>
      </w:pPr>
      <w:r>
        <w:rPr>
          <w:rFonts w:ascii="Cambria" w:hAnsi="Cambria"/>
        </w:rPr>
        <w:t>Översta bilden visar resultatet efter att hänsynen utförts. Nedre bilden visar att avverkning av hänsynenen också avverkats något år senare.</w:t>
      </w:r>
    </w:p>
    <w:p w:rsidR="00022D89" w:rsidRDefault="00022D89" w:rsidP="00D16FE4">
      <w:pPr>
        <w:rPr>
          <w:rFonts w:ascii="Cambria" w:hAnsi="Cambria"/>
        </w:rPr>
      </w:pPr>
    </w:p>
    <w:p w:rsidR="000453AA" w:rsidRDefault="00022D89" w:rsidP="00D16FE4">
      <w:pPr>
        <w:rPr>
          <w:rFonts w:ascii="Cambria" w:hAnsi="Cambria"/>
        </w:rPr>
      </w:pPr>
      <w:r w:rsidRPr="00A23A50">
        <w:rPr>
          <w:rFonts w:ascii="Cambria" w:hAnsi="Cambria"/>
          <w:b/>
        </w:rPr>
        <w:t>Kommentar:</w:t>
      </w:r>
      <w:r>
        <w:rPr>
          <w:rFonts w:ascii="Cambria" w:hAnsi="Cambria"/>
        </w:rPr>
        <w:t xml:space="preserve"> </w:t>
      </w:r>
      <w:r w:rsidR="000453AA">
        <w:rPr>
          <w:rFonts w:ascii="Cambria" w:hAnsi="Cambria"/>
        </w:rPr>
        <w:t>E</w:t>
      </w:r>
      <w:r w:rsidR="00B645E5">
        <w:rPr>
          <w:rFonts w:ascii="Cambria" w:hAnsi="Cambria"/>
        </w:rPr>
        <w:t>xemple</w:t>
      </w:r>
      <w:r w:rsidR="000453AA">
        <w:rPr>
          <w:rFonts w:ascii="Cambria" w:hAnsi="Cambria"/>
        </w:rPr>
        <w:t>t är från tiden innan artskyddsförordningen tagits in i Skogsvårdslagen och visar den brist på hänsyn till tjäderlekplatser, som togs vid denna tid. Det saknades inarbetade rutiner från myndigheterna och åtgärderna gjordes utan beslut från myndigheterna. Detta är förmodligen en orsak till att den hänsynen som togs i detta fall till slut avverkades. Exemplet kan ändå sägas vara en start på det hän</w:t>
      </w:r>
      <w:bookmarkStart w:id="0" w:name="_GoBack"/>
      <w:bookmarkEnd w:id="0"/>
      <w:r w:rsidR="000453AA">
        <w:rPr>
          <w:rFonts w:ascii="Cambria" w:hAnsi="Cambria"/>
        </w:rPr>
        <w:t>synsarbete kring tjäderlekplatser som nu tillämpas alltmer.</w:t>
      </w:r>
    </w:p>
    <w:p w:rsidR="00022D89" w:rsidRPr="00F30DCA" w:rsidRDefault="000453AA" w:rsidP="00D16FE4">
      <w:pPr>
        <w:rPr>
          <w:rFonts w:ascii="Cambria" w:hAnsi="Cambria"/>
        </w:rPr>
      </w:pPr>
      <w:r>
        <w:rPr>
          <w:rFonts w:ascii="Cambria" w:hAnsi="Cambria"/>
        </w:rPr>
        <w:t xml:space="preserve">När det gäller den föreslagna hänsynen i den översta bilden har denna utvecklats ytterligare och den bristfälliga hänsyn som föreslår i område C hade idag inte varit tillräcklig för att uppfylla rekommendationerna i den </w:t>
      </w:r>
      <w:proofErr w:type="spellStart"/>
      <w:r>
        <w:rPr>
          <w:rFonts w:ascii="Cambria" w:hAnsi="Cambria"/>
        </w:rPr>
        <w:t>artvisa</w:t>
      </w:r>
      <w:proofErr w:type="spellEnd"/>
      <w:r>
        <w:rPr>
          <w:rFonts w:ascii="Cambria" w:hAnsi="Cambria"/>
        </w:rPr>
        <w:t xml:space="preserve"> vägledningen för tjäder. I den betonas mindre öppna ytor och mer av kontinuerligt skogstäcke, vilket saknas i område C (översta bilden). T.ex. saknas inflygningszoner för tupparna in mot lekplatscentrum.  </w:t>
      </w:r>
      <w:r w:rsidR="00B645E5">
        <w:rPr>
          <w:rFonts w:ascii="Cambria" w:hAnsi="Cambria"/>
        </w:rPr>
        <w:t xml:space="preserve"> </w:t>
      </w:r>
    </w:p>
    <w:sectPr w:rsidR="00022D89" w:rsidRPr="00F30DC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0DCA"/>
    <w:rsid w:val="00022D89"/>
    <w:rsid w:val="000453AA"/>
    <w:rsid w:val="00576254"/>
    <w:rsid w:val="005C7236"/>
    <w:rsid w:val="00A23A50"/>
    <w:rsid w:val="00B645E5"/>
    <w:rsid w:val="00B86A85"/>
    <w:rsid w:val="00BB7090"/>
    <w:rsid w:val="00CD2A02"/>
    <w:rsid w:val="00D16FE4"/>
    <w:rsid w:val="00F30DC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060FF"/>
  <w15:chartTrackingRefBased/>
  <w15:docId w15:val="{934BC3D4-0E30-4FA6-BC50-52A9086F0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Ingetavstnd">
    <w:name w:val="No Spacing"/>
    <w:uiPriority w:val="1"/>
    <w:qFormat/>
    <w:rsid w:val="00A23A5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7.emf"/><Relationship Id="rId4" Type="http://schemas.openxmlformats.org/officeDocument/2006/relationships/image" Target="media/image1.png"/><Relationship Id="rId9" Type="http://schemas.openxmlformats.org/officeDocument/2006/relationships/image" Target="media/image6.e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3</Pages>
  <Words>465</Words>
  <Characters>2469</Characters>
  <Application>Microsoft Office Word</Application>
  <DocSecurity>0</DocSecurity>
  <Lines>20</Lines>
  <Paragraphs>5</Paragraphs>
  <ScaleCrop>false</ScaleCrop>
  <HeadingPairs>
    <vt:vector size="2" baseType="variant">
      <vt:variant>
        <vt:lpstr>Rubrik</vt:lpstr>
      </vt:variant>
      <vt:variant>
        <vt:i4>1</vt:i4>
      </vt:variant>
    </vt:vector>
  </HeadingPairs>
  <TitlesOfParts>
    <vt:vector size="1" baseType="lpstr">
      <vt:lpstr/>
    </vt:vector>
  </TitlesOfParts>
  <Company>HP Inc.</Company>
  <LinksUpToDate>false</LinksUpToDate>
  <CharactersWithSpaces>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Christer Johansson</dc:creator>
  <cp:keywords/>
  <dc:description/>
  <cp:lastModifiedBy>Christer Johansson</cp:lastModifiedBy>
  <cp:revision>3</cp:revision>
  <dcterms:created xsi:type="dcterms:W3CDTF">2021-08-26T06:24:00Z</dcterms:created>
  <dcterms:modified xsi:type="dcterms:W3CDTF">2021-08-31T19:54:00Z</dcterms:modified>
</cp:coreProperties>
</file>