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384" w:rsidRPr="0074156F" w:rsidRDefault="0074156F" w:rsidP="0074156F">
      <w:pPr>
        <w:pStyle w:val="Ingetavstnd"/>
        <w:rPr>
          <w:b/>
          <w:sz w:val="28"/>
          <w:szCs w:val="28"/>
        </w:rPr>
      </w:pPr>
      <w:r w:rsidRPr="0074156F">
        <w:rPr>
          <w:b/>
          <w:sz w:val="28"/>
          <w:szCs w:val="28"/>
        </w:rPr>
        <w:t>Tjäderlekplats 27</w:t>
      </w:r>
      <w:r w:rsidR="00533976" w:rsidRPr="0074156F">
        <w:rPr>
          <w:b/>
          <w:sz w:val="28"/>
          <w:szCs w:val="28"/>
        </w:rPr>
        <w:t xml:space="preserve"> </w:t>
      </w:r>
    </w:p>
    <w:p w:rsidR="00491C51" w:rsidRPr="00437A75" w:rsidRDefault="00437A75">
      <w:pPr>
        <w:rPr>
          <w:rFonts w:ascii="Cambria" w:hAnsi="Cambria"/>
        </w:rPr>
      </w:pPr>
      <w:r w:rsidRPr="00437A75">
        <w:rPr>
          <w:rFonts w:ascii="Cambria" w:hAnsi="Cambria"/>
        </w:rPr>
        <w:t xml:space="preserve">En mycket stor lekplats </w:t>
      </w:r>
      <w:r w:rsidR="00491C51" w:rsidRPr="00437A75">
        <w:rPr>
          <w:rFonts w:ascii="Cambria" w:hAnsi="Cambria"/>
        </w:rPr>
        <w:t>med 7</w:t>
      </w:r>
      <w:bookmarkStart w:id="0" w:name="_GoBack"/>
      <w:bookmarkEnd w:id="0"/>
      <w:r w:rsidR="00491C51" w:rsidRPr="00437A75">
        <w:rPr>
          <w:rFonts w:ascii="Cambria" w:hAnsi="Cambria"/>
        </w:rPr>
        <w:t xml:space="preserve"> tuppar</w:t>
      </w:r>
      <w:r w:rsidR="00131887">
        <w:rPr>
          <w:rFonts w:ascii="Cambria" w:hAnsi="Cambria"/>
        </w:rPr>
        <w:t xml:space="preserve"> (2021)</w:t>
      </w:r>
      <w:r w:rsidRPr="00437A75">
        <w:rPr>
          <w:rFonts w:ascii="Cambria" w:hAnsi="Cambria"/>
        </w:rPr>
        <w:t xml:space="preserve">, som sannolikt varit aktiv under lång tid tillbaka att döma av </w:t>
      </w:r>
      <w:r w:rsidR="008A1829">
        <w:rPr>
          <w:rFonts w:ascii="Cambria" w:hAnsi="Cambria"/>
        </w:rPr>
        <w:t>habitatmodellerna för området. Inom området har slutligt tillstånd för vindkraft upprättats och byggstart av projektet kommer inledas under 2021. Någon tjäderskötselplan för tjäderlekplatsens upptagningsområde har inte utförts i samband med vindkraftsprojektet.</w:t>
      </w:r>
    </w:p>
    <w:p w:rsidR="00533976" w:rsidRPr="00437A75" w:rsidRDefault="00533976">
      <w:pPr>
        <w:rPr>
          <w:rFonts w:ascii="Cambria" w:hAnsi="Cambria"/>
          <w:noProof/>
          <w:lang w:eastAsia="sv-SE"/>
        </w:rPr>
      </w:pPr>
      <w:r w:rsidRPr="00437A75">
        <w:rPr>
          <w:rFonts w:ascii="Cambria" w:hAnsi="Cambria"/>
          <w:noProof/>
          <w:lang w:eastAsia="sv-SE"/>
        </w:rPr>
        <w:t xml:space="preserve"> </w:t>
      </w:r>
      <w:r w:rsidRPr="00437A75">
        <w:rPr>
          <w:rFonts w:ascii="Cambria" w:hAnsi="Cambria"/>
          <w:noProof/>
          <w:lang w:eastAsia="sv-SE"/>
        </w:rPr>
        <w:drawing>
          <wp:inline distT="0" distB="0" distL="0" distR="0">
            <wp:extent cx="2809358" cy="2736523"/>
            <wp:effectExtent l="0" t="0" r="0" b="6985"/>
            <wp:docPr id="1" name="Bildobjekt 1" descr="C:\Users\Christer Johansson\Documents\Tjäderprojektet\RAPPORTEN Tjäder som modellart\16 Tranemo Vindkraft\Bas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ocuments\Tjäderprojektet\RAPPORTEN Tjäder som modellart\16 Tranemo Vindkraft\Basskikte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29754" cy="2756390"/>
                    </a:xfrm>
                    <a:prstGeom prst="rect">
                      <a:avLst/>
                    </a:prstGeom>
                    <a:noFill/>
                    <a:ln>
                      <a:noFill/>
                    </a:ln>
                  </pic:spPr>
                </pic:pic>
              </a:graphicData>
            </a:graphic>
          </wp:inline>
        </w:drawing>
      </w:r>
      <w:r w:rsidRPr="00437A75">
        <w:rPr>
          <w:rFonts w:ascii="Cambria" w:hAnsi="Cambria"/>
          <w:noProof/>
          <w:lang w:eastAsia="sv-SE"/>
        </w:rPr>
        <w:t xml:space="preserve"> </w:t>
      </w:r>
      <w:r w:rsidRPr="00437A75">
        <w:rPr>
          <w:rFonts w:ascii="Cambria" w:hAnsi="Cambria"/>
          <w:noProof/>
          <w:lang w:eastAsia="sv-SE"/>
        </w:rPr>
        <w:drawing>
          <wp:inline distT="0" distB="0" distL="0" distR="0">
            <wp:extent cx="2830966" cy="2760980"/>
            <wp:effectExtent l="0" t="0" r="7620" b="1270"/>
            <wp:docPr id="2" name="Bildobjekt 2" descr="C:\Users\Christer Johansson\Documents\Tjäderprojektet\RAPPORTEN Tjäder som modellart\16 Tranemo Vindkraft\Satellit + nat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ocuments\Tjäderprojektet\RAPPORTEN Tjäder som modellart\16 Tranemo Vindkraft\Satellit + natu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38847" cy="2768667"/>
                    </a:xfrm>
                    <a:prstGeom prst="rect">
                      <a:avLst/>
                    </a:prstGeom>
                    <a:noFill/>
                    <a:ln>
                      <a:noFill/>
                    </a:ln>
                  </pic:spPr>
                </pic:pic>
              </a:graphicData>
            </a:graphic>
          </wp:inline>
        </w:drawing>
      </w:r>
    </w:p>
    <w:p w:rsidR="00533976" w:rsidRPr="00437A75" w:rsidRDefault="008A1829">
      <w:pPr>
        <w:rPr>
          <w:rFonts w:ascii="Cambria" w:hAnsi="Cambria"/>
          <w:noProof/>
          <w:lang w:eastAsia="sv-SE"/>
        </w:rPr>
      </w:pPr>
      <w:r>
        <w:rPr>
          <w:rFonts w:ascii="Cambria" w:hAnsi="Cambria"/>
          <w:noProof/>
          <w:lang w:eastAsia="sv-SE"/>
        </w:rPr>
        <w:t>Habitatkartan visar att större delen av upptagningsområdet utgörs av talldominerad skog. Barrblandskog och grandominerad skog finns i utbredningesområdet men i mindre omfattning främst i östra och södra delarna. Helhetsområdet har omfattande våtmarksområden, både flera öppna våtmarker men även tallmossar och sumpskogar. Det inre upptagningsområdet har mycket goda tjäderhabitat. Delar av området har gallrats, vilket minskat skiktni</w:t>
      </w:r>
      <w:r w:rsidR="00255F19">
        <w:rPr>
          <w:rFonts w:ascii="Cambria" w:hAnsi="Cambria"/>
          <w:noProof/>
          <w:lang w:eastAsia="sv-SE"/>
        </w:rPr>
        <w:t xml:space="preserve">ngen i området. </w:t>
      </w:r>
      <w:r>
        <w:rPr>
          <w:rFonts w:ascii="Cambria" w:hAnsi="Cambria"/>
          <w:noProof/>
          <w:lang w:eastAsia="sv-SE"/>
        </w:rPr>
        <w:t xml:space="preserve">   </w:t>
      </w:r>
    </w:p>
    <w:p w:rsidR="00533976" w:rsidRPr="00437A75" w:rsidRDefault="00255F19">
      <w:pPr>
        <w:rPr>
          <w:rFonts w:ascii="Cambria" w:hAnsi="Cambria"/>
          <w:noProof/>
          <w:lang w:eastAsia="sv-SE"/>
        </w:rPr>
      </w:pPr>
      <w:r w:rsidRPr="00255F19">
        <w:rPr>
          <w:rFonts w:ascii="Cambria" w:hAnsi="Cambria"/>
          <w:noProof/>
          <w:lang w:eastAsia="sv-SE"/>
        </w:rPr>
        <w:drawing>
          <wp:inline distT="0" distB="0" distL="0" distR="0">
            <wp:extent cx="2854656" cy="2784083"/>
            <wp:effectExtent l="0" t="0" r="3175" b="0"/>
            <wp:docPr id="10" name="Bildobjekt 10" descr="C:\Users\Christer Johansson\Documents\Tjäderprojektet\RAPPORTEN Tjäder som modellart\16 Tranemo Vindkraft\Basskiktet + avv + nat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hrister Johansson\Documents\Tjäderprojektet\RAPPORTEN Tjäder som modellart\16 Tranemo Vindkraft\Basskiktet + avv + natur.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5316" cy="2813985"/>
                    </a:xfrm>
                    <a:prstGeom prst="rect">
                      <a:avLst/>
                    </a:prstGeom>
                    <a:noFill/>
                    <a:ln>
                      <a:noFill/>
                    </a:ln>
                  </pic:spPr>
                </pic:pic>
              </a:graphicData>
            </a:graphic>
          </wp:inline>
        </w:drawing>
      </w:r>
      <w:r>
        <w:rPr>
          <w:rFonts w:ascii="Cambria" w:hAnsi="Cambria"/>
          <w:noProof/>
          <w:lang w:eastAsia="sv-SE"/>
        </w:rPr>
        <w:t xml:space="preserve"> </w:t>
      </w:r>
      <w:r w:rsidRPr="00255F19">
        <w:rPr>
          <w:rFonts w:ascii="Cambria" w:hAnsi="Cambria"/>
          <w:noProof/>
          <w:lang w:eastAsia="sv-SE"/>
        </w:rPr>
        <w:drawing>
          <wp:inline distT="0" distB="0" distL="0" distR="0">
            <wp:extent cx="2743200" cy="2793401"/>
            <wp:effectExtent l="0" t="0" r="0" b="6985"/>
            <wp:docPr id="11" name="Bildobjekt 11" descr="C:\Users\Christer Johansson\Documents\Tjäderprojektet\RAPPORTEN Tjäder som modellart\16 Tranemo Vindkraft\In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hrister Johansson\Documents\Tjäderprojektet\RAPPORTEN Tjäder som modellart\16 Tranemo Vindkraft\Inre 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8807" cy="2799111"/>
                    </a:xfrm>
                    <a:prstGeom prst="rect">
                      <a:avLst/>
                    </a:prstGeom>
                    <a:noFill/>
                    <a:ln>
                      <a:noFill/>
                    </a:ln>
                  </pic:spPr>
                </pic:pic>
              </a:graphicData>
            </a:graphic>
          </wp:inline>
        </w:drawing>
      </w:r>
    </w:p>
    <w:p w:rsidR="00255F19" w:rsidRDefault="00255F19">
      <w:pPr>
        <w:rPr>
          <w:rFonts w:ascii="Cambria" w:hAnsi="Cambria"/>
          <w:noProof/>
          <w:lang w:eastAsia="sv-SE"/>
        </w:rPr>
      </w:pPr>
      <w:r>
        <w:rPr>
          <w:rFonts w:ascii="Cambria" w:hAnsi="Cambria"/>
          <w:noProof/>
          <w:lang w:eastAsia="sv-SE"/>
        </w:rPr>
        <w:t>Avverkningar har gjorts i det yttre upptagningsområdets norra och nordvästra delar. Mindre avverkningar finns även i den södar delen. En mindre, ca 1 ha har avverkats i det inre upptagningsområdet. I övrigt håller det inre upptagningsområdet högklassiga tjä</w:t>
      </w:r>
      <w:r w:rsidR="009E146A">
        <w:rPr>
          <w:rFonts w:ascii="Cambria" w:hAnsi="Cambria"/>
          <w:noProof/>
          <w:lang w:eastAsia="sv-SE"/>
        </w:rPr>
        <w:t xml:space="preserve">derbiotoper. En transportväg för vindkraftverken har dragits söder om lekplatsen, som skulle kunna ha en påverkan på tjäderpopulationen i området. </w:t>
      </w:r>
    </w:p>
    <w:p w:rsidR="00533976" w:rsidRPr="00437A75" w:rsidRDefault="009E146A" w:rsidP="009E146A">
      <w:pPr>
        <w:pStyle w:val="Ingetavstnd"/>
        <w:rPr>
          <w:noProof/>
          <w:lang w:eastAsia="sv-SE"/>
        </w:rPr>
      </w:pPr>
      <w:r>
        <w:rPr>
          <w:noProof/>
          <w:lang w:eastAsia="sv-SE"/>
        </w:rPr>
        <w:lastRenderedPageBreak/>
        <w:t>1985                                                                                    1999</w:t>
      </w:r>
    </w:p>
    <w:p w:rsidR="00533976" w:rsidRDefault="00533976">
      <w:pPr>
        <w:rPr>
          <w:rFonts w:ascii="Cambria" w:hAnsi="Cambria"/>
        </w:rPr>
      </w:pPr>
      <w:r w:rsidRPr="00437A75">
        <w:rPr>
          <w:rFonts w:ascii="Cambria" w:hAnsi="Cambria"/>
          <w:noProof/>
          <w:lang w:eastAsia="sv-SE"/>
        </w:rPr>
        <w:drawing>
          <wp:inline distT="0" distB="0" distL="0" distR="0" wp14:anchorId="409376E4">
            <wp:extent cx="2832100" cy="2575178"/>
            <wp:effectExtent l="0" t="0" r="635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7363" cy="2589056"/>
                    </a:xfrm>
                    <a:prstGeom prst="rect">
                      <a:avLst/>
                    </a:prstGeom>
                    <a:noFill/>
                  </pic:spPr>
                </pic:pic>
              </a:graphicData>
            </a:graphic>
          </wp:inline>
        </w:drawing>
      </w:r>
      <w:r w:rsidRPr="00437A75">
        <w:rPr>
          <w:rFonts w:ascii="Cambria" w:hAnsi="Cambria"/>
        </w:rPr>
        <w:t xml:space="preserve"> </w:t>
      </w:r>
      <w:r w:rsidRPr="00437A75">
        <w:rPr>
          <w:rFonts w:ascii="Cambria" w:hAnsi="Cambria"/>
          <w:noProof/>
          <w:lang w:eastAsia="sv-SE"/>
        </w:rPr>
        <w:drawing>
          <wp:inline distT="0" distB="0" distL="0" distR="0" wp14:anchorId="4A236B20" wp14:editId="3DA5F3FE">
            <wp:extent cx="2772259" cy="2559674"/>
            <wp:effectExtent l="0" t="0" r="0" b="0"/>
            <wp:docPr id="5"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4"/>
                    <pic:cNvPicPr>
                      <a:picLocks noChangeAspect="1"/>
                    </pic:cNvPicPr>
                  </pic:nvPicPr>
                  <pic:blipFill>
                    <a:blip r:embed="rId12"/>
                    <a:stretch>
                      <a:fillRect/>
                    </a:stretch>
                  </pic:blipFill>
                  <pic:spPr>
                    <a:xfrm>
                      <a:off x="0" y="0"/>
                      <a:ext cx="2784099" cy="2570606"/>
                    </a:xfrm>
                    <a:prstGeom prst="rect">
                      <a:avLst/>
                    </a:prstGeom>
                  </pic:spPr>
                </pic:pic>
              </a:graphicData>
            </a:graphic>
          </wp:inline>
        </w:drawing>
      </w:r>
    </w:p>
    <w:p w:rsidR="009E146A" w:rsidRPr="00437A75" w:rsidRDefault="009E146A" w:rsidP="009E146A">
      <w:pPr>
        <w:pStyle w:val="Ingetavstnd"/>
      </w:pPr>
      <w:r>
        <w:t>2011                                                                                      2018</w:t>
      </w:r>
    </w:p>
    <w:p w:rsidR="00533976" w:rsidRDefault="00533976">
      <w:pPr>
        <w:rPr>
          <w:rFonts w:ascii="Cambria" w:hAnsi="Cambria"/>
        </w:rPr>
      </w:pPr>
      <w:r w:rsidRPr="00437A75">
        <w:rPr>
          <w:rFonts w:ascii="Cambria" w:hAnsi="Cambria"/>
          <w:noProof/>
          <w:lang w:eastAsia="sv-SE"/>
        </w:rPr>
        <w:drawing>
          <wp:inline distT="0" distB="0" distL="0" distR="0" wp14:anchorId="6C283E0F" wp14:editId="1496BE5E">
            <wp:extent cx="2820411" cy="2581275"/>
            <wp:effectExtent l="0" t="0" r="0" b="0"/>
            <wp:docPr id="6"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5"/>
                    <pic:cNvPicPr>
                      <a:picLocks noChangeAspect="1"/>
                    </pic:cNvPicPr>
                  </pic:nvPicPr>
                  <pic:blipFill>
                    <a:blip r:embed="rId13"/>
                    <a:stretch>
                      <a:fillRect/>
                    </a:stretch>
                  </pic:blipFill>
                  <pic:spPr>
                    <a:xfrm>
                      <a:off x="0" y="0"/>
                      <a:ext cx="2829630" cy="2589713"/>
                    </a:xfrm>
                    <a:prstGeom prst="rect">
                      <a:avLst/>
                    </a:prstGeom>
                  </pic:spPr>
                </pic:pic>
              </a:graphicData>
            </a:graphic>
          </wp:inline>
        </w:drawing>
      </w:r>
      <w:r w:rsidRPr="00437A75">
        <w:rPr>
          <w:rFonts w:ascii="Cambria" w:hAnsi="Cambria"/>
        </w:rPr>
        <w:t xml:space="preserve"> </w:t>
      </w:r>
      <w:r w:rsidRPr="00437A75">
        <w:rPr>
          <w:rFonts w:ascii="Cambria" w:hAnsi="Cambria"/>
          <w:noProof/>
          <w:lang w:eastAsia="sv-SE"/>
        </w:rPr>
        <w:drawing>
          <wp:inline distT="0" distB="0" distL="0" distR="0" wp14:anchorId="75F5F501" wp14:editId="77C5197A">
            <wp:extent cx="2797435" cy="2570711"/>
            <wp:effectExtent l="0" t="0" r="3175" b="1270"/>
            <wp:docPr id="7"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6"/>
                    <pic:cNvPicPr>
                      <a:picLocks noChangeAspect="1"/>
                    </pic:cNvPicPr>
                  </pic:nvPicPr>
                  <pic:blipFill>
                    <a:blip r:embed="rId14"/>
                    <a:stretch>
                      <a:fillRect/>
                    </a:stretch>
                  </pic:blipFill>
                  <pic:spPr>
                    <a:xfrm>
                      <a:off x="0" y="0"/>
                      <a:ext cx="2807727" cy="2580169"/>
                    </a:xfrm>
                    <a:prstGeom prst="rect">
                      <a:avLst/>
                    </a:prstGeom>
                  </pic:spPr>
                </pic:pic>
              </a:graphicData>
            </a:graphic>
          </wp:inline>
        </w:drawing>
      </w:r>
    </w:p>
    <w:p w:rsidR="009E146A" w:rsidRDefault="00A74DB3">
      <w:pPr>
        <w:rPr>
          <w:rFonts w:ascii="Cambria" w:hAnsi="Cambria"/>
        </w:rPr>
      </w:pPr>
      <w:r w:rsidRPr="00A74DB3">
        <w:rPr>
          <w:rFonts w:ascii="Cambria" w:hAnsi="Cambria"/>
          <w:noProof/>
          <w:lang w:eastAsia="sv-SE"/>
        </w:rPr>
        <w:drawing>
          <wp:anchor distT="0" distB="0" distL="114300" distR="114300" simplePos="0" relativeHeight="251658240" behindDoc="0" locked="0" layoutInCell="1" allowOverlap="1">
            <wp:simplePos x="0" y="0"/>
            <wp:positionH relativeFrom="column">
              <wp:posOffset>1905</wp:posOffset>
            </wp:positionH>
            <wp:positionV relativeFrom="paragraph">
              <wp:posOffset>-3175</wp:posOffset>
            </wp:positionV>
            <wp:extent cx="1536700" cy="2400589"/>
            <wp:effectExtent l="0" t="0" r="6350" b="0"/>
            <wp:wrapSquare wrapText="bothSides"/>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36700" cy="2400589"/>
                    </a:xfrm>
                    <a:prstGeom prst="rect">
                      <a:avLst/>
                    </a:prstGeom>
                    <a:noFill/>
                    <a:ln>
                      <a:noFill/>
                    </a:ln>
                  </pic:spPr>
                </pic:pic>
              </a:graphicData>
            </a:graphic>
          </wp:anchor>
        </w:drawing>
      </w:r>
      <w:r w:rsidR="009E146A">
        <w:rPr>
          <w:rFonts w:ascii="Cambria" w:hAnsi="Cambria"/>
        </w:rPr>
        <w:t xml:space="preserve">Bilderna ovan visar habitatmodellen för området. </w:t>
      </w:r>
      <w:r w:rsidR="00134D4A">
        <w:rPr>
          <w:rFonts w:ascii="Cambria" w:hAnsi="Cambria"/>
        </w:rPr>
        <w:t xml:space="preserve">Som modellen bekräftar har området hållit mycket goda habitat för tjäder under perioden 1985-2021. </w:t>
      </w:r>
      <w:r>
        <w:rPr>
          <w:rFonts w:ascii="Cambria" w:hAnsi="Cambria"/>
        </w:rPr>
        <w:t xml:space="preserve">Som synes har de avverkningar som utförts i de nordvästra delarna påverkat tjäderhabitatet negativt i dessa delar. </w:t>
      </w:r>
      <w:r w:rsidR="00134D4A">
        <w:rPr>
          <w:rFonts w:ascii="Cambria" w:hAnsi="Cambria"/>
        </w:rPr>
        <w:t xml:space="preserve">Antalet tuppar verkar ligga stabilt </w:t>
      </w:r>
      <w:r>
        <w:rPr>
          <w:rFonts w:ascii="Cambria" w:hAnsi="Cambria"/>
        </w:rPr>
        <w:t>runt 7-8 stycken i området.</w:t>
      </w:r>
    </w:p>
    <w:p w:rsidR="00A74DB3" w:rsidRDefault="00A74DB3" w:rsidP="00A74DB3">
      <w:pPr>
        <w:rPr>
          <w:rFonts w:ascii="Cambria" w:hAnsi="Cambria"/>
        </w:rPr>
      </w:pPr>
    </w:p>
    <w:p w:rsidR="00A74DB3" w:rsidRPr="00A74DB3" w:rsidRDefault="00A74DB3" w:rsidP="00A74DB3">
      <w:pPr>
        <w:rPr>
          <w:rFonts w:ascii="Cambria" w:hAnsi="Cambria"/>
        </w:rPr>
      </w:pPr>
      <w:r w:rsidRPr="00A74DB3">
        <w:rPr>
          <w:rFonts w:ascii="Cambria" w:hAnsi="Cambria"/>
        </w:rPr>
        <w:t>En habitatmodell utgår från olika parametrar som påverkar tjädern, t.ex. krontäckning, trädslag, ålder m.m. Dessa ges värden som byggs ihop till sammanfattande bedömning över lämpliga habitat för arten. Värden över 0,6 anses som tjädergoda habitat och markeras i modellen med grön-röd färg.</w:t>
      </w:r>
    </w:p>
    <w:p w:rsidR="00A74DB3" w:rsidRDefault="00A74DB3">
      <w:pPr>
        <w:rPr>
          <w:rFonts w:ascii="Cambria" w:hAnsi="Cambria"/>
        </w:rPr>
      </w:pPr>
    </w:p>
    <w:p w:rsidR="00A74DB3" w:rsidRDefault="00A74DB3">
      <w:pPr>
        <w:rPr>
          <w:rFonts w:ascii="Cambria" w:hAnsi="Cambria"/>
        </w:rPr>
      </w:pPr>
    </w:p>
    <w:p w:rsidR="00A74DB3" w:rsidRDefault="00A74DB3">
      <w:pPr>
        <w:rPr>
          <w:rFonts w:ascii="Cambria" w:hAnsi="Cambria"/>
        </w:rPr>
      </w:pPr>
    </w:p>
    <w:p w:rsidR="00A74DB3" w:rsidRPr="00A74DB3" w:rsidRDefault="00A74DB3">
      <w:pPr>
        <w:rPr>
          <w:rFonts w:ascii="Cambria" w:hAnsi="Cambria"/>
          <w:b/>
          <w:sz w:val="24"/>
          <w:szCs w:val="24"/>
        </w:rPr>
      </w:pPr>
      <w:r w:rsidRPr="00A74DB3">
        <w:rPr>
          <w:rFonts w:ascii="Cambria" w:hAnsi="Cambria"/>
          <w:b/>
          <w:sz w:val="24"/>
          <w:szCs w:val="24"/>
        </w:rPr>
        <w:lastRenderedPageBreak/>
        <w:t>Vindkraftens påverkan på tjäderlekplatsen</w:t>
      </w:r>
    </w:p>
    <w:p w:rsidR="00533976" w:rsidRDefault="00533976">
      <w:r w:rsidRPr="00533976">
        <w:rPr>
          <w:noProof/>
          <w:lang w:eastAsia="sv-SE"/>
        </w:rPr>
        <w:drawing>
          <wp:inline distT="0" distB="0" distL="0" distR="0">
            <wp:extent cx="5613400" cy="5414392"/>
            <wp:effectExtent l="0" t="0" r="6350" b="0"/>
            <wp:docPr id="8" name="Bildobjekt 8" descr="C:\Users\Christer Johansson\Documents\Tjäderprojektet\RAPPORTEN Tjäder som modellart\16 Tranemo Vindkraft\Vindkraft satell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rister Johansson\Documents\Tjäderprojektet\RAPPORTEN Tjäder som modellart\16 Tranemo Vindkraft\Vindkraft satellit.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6379" cy="5417265"/>
                    </a:xfrm>
                    <a:prstGeom prst="rect">
                      <a:avLst/>
                    </a:prstGeom>
                    <a:noFill/>
                    <a:ln>
                      <a:noFill/>
                    </a:ln>
                  </pic:spPr>
                </pic:pic>
              </a:graphicData>
            </a:graphic>
          </wp:inline>
        </w:drawing>
      </w:r>
    </w:p>
    <w:p w:rsidR="00A30AC0" w:rsidRDefault="00A30AC0">
      <w:pPr>
        <w:rPr>
          <w:rFonts w:ascii="Cambria" w:hAnsi="Cambria"/>
        </w:rPr>
      </w:pPr>
      <w:r w:rsidRPr="00A30AC0">
        <w:rPr>
          <w:rFonts w:ascii="Cambria" w:hAnsi="Cambria"/>
        </w:rPr>
        <w:t>Kartan v</w:t>
      </w:r>
      <w:r>
        <w:rPr>
          <w:rFonts w:ascii="Cambria" w:hAnsi="Cambria"/>
        </w:rPr>
        <w:t xml:space="preserve">isar de placeringar av beslutade och godkända vindkraftverk som är beslutade som skulle kunna påverka lekplatsen. Den som ligger inom det potentiella upptagningsområdet för lekplatsen (0-1000m), ligger på avstånden 650m, 790m respektive 940 meter från lekplatsen. </w:t>
      </w:r>
    </w:p>
    <w:p w:rsidR="00A30AC0" w:rsidRDefault="00A30AC0" w:rsidP="00A30AC0">
      <w:pPr>
        <w:rPr>
          <w:rFonts w:ascii="Cambria" w:hAnsi="Cambria" w:cs="Times New Roman"/>
          <w:bCs/>
        </w:rPr>
      </w:pPr>
      <w:r>
        <w:rPr>
          <w:rFonts w:ascii="Cambria" w:hAnsi="Cambria"/>
        </w:rPr>
        <w:t xml:space="preserve">I den miljökonsekvensbeskrivning som är upprättad för området beskrivs den sammanfattande påverkan på fågelfaunan så här: </w:t>
      </w:r>
      <w:r w:rsidRPr="00F632A4">
        <w:rPr>
          <w:rFonts w:ascii="Cambria" w:hAnsi="Cambria"/>
          <w:i/>
        </w:rPr>
        <w:t>”</w:t>
      </w:r>
      <w:r w:rsidRPr="00A30AC0">
        <w:rPr>
          <w:rFonts w:ascii="Cambria" w:hAnsi="Cambria" w:cs="Times New Roman"/>
          <w:i/>
        </w:rPr>
        <w:t>Sammanfattningsvis konstatera</w:t>
      </w:r>
      <w:r w:rsidRPr="00F632A4">
        <w:rPr>
          <w:rFonts w:ascii="Cambria" w:hAnsi="Cambria" w:cs="Times New Roman"/>
          <w:i/>
        </w:rPr>
        <w:t>r xx</w:t>
      </w:r>
      <w:r w:rsidRPr="00A30AC0">
        <w:rPr>
          <w:rFonts w:ascii="Cambria" w:hAnsi="Cambria" w:cs="Times New Roman"/>
          <w:i/>
        </w:rPr>
        <w:t xml:space="preserve"> i inventeringsrapporten att den aktuella</w:t>
      </w:r>
      <w:r w:rsidRPr="00F632A4">
        <w:rPr>
          <w:rFonts w:ascii="Cambria" w:hAnsi="Cambria" w:cs="Times New Roman"/>
          <w:i/>
        </w:rPr>
        <w:t xml:space="preserve"> </w:t>
      </w:r>
      <w:r w:rsidRPr="00A30AC0">
        <w:rPr>
          <w:rFonts w:ascii="Cambria" w:hAnsi="Cambria" w:cs="Times New Roman"/>
          <w:i/>
        </w:rPr>
        <w:t>fågelfaunan knappast kan komma att påverkas i negativ riktning av den planerade</w:t>
      </w:r>
      <w:r w:rsidRPr="00F632A4">
        <w:rPr>
          <w:rFonts w:ascii="Cambria" w:hAnsi="Cambria" w:cs="Times New Roman"/>
          <w:i/>
        </w:rPr>
        <w:t xml:space="preserve"> </w:t>
      </w:r>
      <w:r w:rsidRPr="00A30AC0">
        <w:rPr>
          <w:rFonts w:ascii="Cambria" w:hAnsi="Cambria" w:cs="Times New Roman"/>
          <w:i/>
        </w:rPr>
        <w:t xml:space="preserve">vindkraftsparken. I den fördjupade rapporten om tjäderspelplatsen som </w:t>
      </w:r>
      <w:r w:rsidRPr="00F632A4">
        <w:rPr>
          <w:rFonts w:ascii="Cambria" w:hAnsi="Cambria" w:cs="Times New Roman"/>
          <w:i/>
        </w:rPr>
        <w:t>xx</w:t>
      </w:r>
      <w:r w:rsidRPr="00A30AC0">
        <w:rPr>
          <w:rFonts w:ascii="Cambria" w:hAnsi="Cambria" w:cs="Times New Roman"/>
          <w:i/>
        </w:rPr>
        <w:t xml:space="preserve"> har gjort,</w:t>
      </w:r>
      <w:r w:rsidRPr="00F632A4">
        <w:rPr>
          <w:rFonts w:ascii="Cambria" w:hAnsi="Cambria" w:cs="Times New Roman"/>
          <w:i/>
        </w:rPr>
        <w:t xml:space="preserve"> </w:t>
      </w:r>
      <w:r w:rsidRPr="00A30AC0">
        <w:rPr>
          <w:rFonts w:ascii="Cambria" w:hAnsi="Cambria" w:cs="Times New Roman"/>
          <w:i/>
        </w:rPr>
        <w:t xml:space="preserve">skriver </w:t>
      </w:r>
      <w:r w:rsidRPr="00F632A4">
        <w:rPr>
          <w:rFonts w:ascii="Cambria" w:hAnsi="Cambria" w:cs="Times New Roman"/>
          <w:i/>
        </w:rPr>
        <w:t>xx</w:t>
      </w:r>
      <w:r w:rsidRPr="00A30AC0">
        <w:rPr>
          <w:rFonts w:ascii="Cambria" w:hAnsi="Cambria" w:cs="Times New Roman"/>
          <w:i/>
        </w:rPr>
        <w:t xml:space="preserve"> att bedömningen är att det finns goda biotoper för tjäder i skogarna i</w:t>
      </w:r>
      <w:r w:rsidRPr="00F632A4">
        <w:rPr>
          <w:rFonts w:ascii="Cambria" w:hAnsi="Cambria" w:cs="Times New Roman"/>
          <w:i/>
        </w:rPr>
        <w:t xml:space="preserve"> xx</w:t>
      </w:r>
      <w:r w:rsidRPr="00A30AC0">
        <w:rPr>
          <w:rFonts w:ascii="Cambria" w:hAnsi="Cambria" w:cs="Times New Roman"/>
          <w:i/>
        </w:rPr>
        <w:t xml:space="preserve"> och att det finns gott om lämpliga terrängtyper som kan fungera som spelplatser för</w:t>
      </w:r>
      <w:r w:rsidRPr="00F632A4">
        <w:rPr>
          <w:rFonts w:ascii="Cambria" w:hAnsi="Cambria" w:cs="Times New Roman"/>
          <w:i/>
        </w:rPr>
        <w:t xml:space="preserve"> </w:t>
      </w:r>
      <w:r w:rsidRPr="00A30AC0">
        <w:rPr>
          <w:rFonts w:ascii="Cambria" w:hAnsi="Cambria" w:cs="Times New Roman"/>
          <w:i/>
        </w:rPr>
        <w:t>tjäder. Det som är mer avgörande för biotopens utseende är skogsbruket och i hur stor</w:t>
      </w:r>
      <w:r w:rsidRPr="00F632A4">
        <w:rPr>
          <w:rFonts w:ascii="Cambria" w:hAnsi="Cambria" w:cs="Times New Roman"/>
          <w:i/>
        </w:rPr>
        <w:t xml:space="preserve"> </w:t>
      </w:r>
      <w:r w:rsidRPr="00A30AC0">
        <w:rPr>
          <w:rFonts w:ascii="Cambria" w:hAnsi="Cambria" w:cs="Times New Roman"/>
          <w:i/>
        </w:rPr>
        <w:t>omfattning skogen kommer att avverkas. Om vindkraftverk uppförs kommer tjäder och orre</w:t>
      </w:r>
      <w:r w:rsidRPr="00F632A4">
        <w:rPr>
          <w:rFonts w:ascii="Cambria" w:hAnsi="Cambria" w:cs="Times New Roman"/>
          <w:i/>
        </w:rPr>
        <w:t xml:space="preserve"> </w:t>
      </w:r>
      <w:r w:rsidRPr="00A30AC0">
        <w:rPr>
          <w:rFonts w:ascii="Cambria" w:hAnsi="Cambria" w:cs="Times New Roman"/>
          <w:i/>
        </w:rPr>
        <w:t>nog att vara försiktiga till verken i början, men vänjer sig vid dem då de inte utgör något hot.</w:t>
      </w:r>
      <w:r w:rsidRPr="00F632A4">
        <w:rPr>
          <w:rFonts w:ascii="Cambria" w:hAnsi="Cambria" w:cs="Times New Roman"/>
          <w:i/>
        </w:rPr>
        <w:t xml:space="preserve"> xx</w:t>
      </w:r>
      <w:r w:rsidRPr="00A30AC0">
        <w:rPr>
          <w:rFonts w:ascii="Cambria" w:hAnsi="Cambria" w:cs="Times New Roman"/>
          <w:i/>
        </w:rPr>
        <w:t xml:space="preserve"> gör bedömningen att påverkan på fågellivet är liten och att uppförandet av</w:t>
      </w:r>
      <w:r w:rsidRPr="00F632A4">
        <w:rPr>
          <w:rFonts w:ascii="Cambria" w:hAnsi="Cambria" w:cs="Times New Roman"/>
          <w:i/>
        </w:rPr>
        <w:t xml:space="preserve"> </w:t>
      </w:r>
      <w:r w:rsidRPr="00A30AC0">
        <w:rPr>
          <w:rFonts w:ascii="Cambria" w:hAnsi="Cambria" w:cs="Times New Roman"/>
          <w:i/>
        </w:rPr>
        <w:t>vindkraftverk inte kommer att ha någon betydande påverkan på fågelfaunan i området.</w:t>
      </w:r>
      <w:r w:rsidRPr="00F632A4">
        <w:rPr>
          <w:rFonts w:ascii="Cambria" w:hAnsi="Cambria" w:cs="Times New Roman"/>
          <w:i/>
        </w:rPr>
        <w:t xml:space="preserve"> </w:t>
      </w:r>
      <w:r w:rsidRPr="00A30AC0">
        <w:rPr>
          <w:rFonts w:ascii="Cambria" w:hAnsi="Cambria" w:cs="Times New Roman"/>
          <w:bCs/>
          <w:i/>
        </w:rPr>
        <w:t>Den sammantagna bedömningen är att påverkan på fågellivet är ringa.</w:t>
      </w:r>
      <w:r w:rsidRPr="00F632A4">
        <w:rPr>
          <w:rFonts w:ascii="Cambria" w:hAnsi="Cambria" w:cs="Times New Roman"/>
          <w:bCs/>
          <w:i/>
        </w:rPr>
        <w:t>”</w:t>
      </w:r>
    </w:p>
    <w:p w:rsidR="00F632A4" w:rsidRPr="00F632A4" w:rsidRDefault="00F632A4" w:rsidP="00F632A4">
      <w:pPr>
        <w:autoSpaceDE w:val="0"/>
        <w:autoSpaceDN w:val="0"/>
        <w:adjustRightInd w:val="0"/>
        <w:spacing w:after="0" w:line="240" w:lineRule="auto"/>
        <w:rPr>
          <w:rFonts w:ascii="Cambria" w:hAnsi="Cambria" w:cs="Times New Roman"/>
          <w:i/>
        </w:rPr>
      </w:pPr>
      <w:r w:rsidRPr="00F632A4">
        <w:rPr>
          <w:rFonts w:ascii="Cambria" w:hAnsi="Cambria" w:cs="Times New Roman"/>
          <w:bCs/>
        </w:rPr>
        <w:t>När det gäller påverkan på skogshöns specifikt står i miljökonsekvensb</w:t>
      </w:r>
      <w:r>
        <w:rPr>
          <w:rFonts w:ascii="Cambria" w:hAnsi="Cambria" w:cs="Times New Roman"/>
          <w:bCs/>
        </w:rPr>
        <w:t>e</w:t>
      </w:r>
      <w:r w:rsidRPr="00F632A4">
        <w:rPr>
          <w:rFonts w:ascii="Cambria" w:hAnsi="Cambria" w:cs="Times New Roman"/>
          <w:bCs/>
        </w:rPr>
        <w:t xml:space="preserve">skrivningen: </w:t>
      </w:r>
      <w:r w:rsidRPr="00F632A4">
        <w:rPr>
          <w:rFonts w:ascii="Cambria" w:hAnsi="Cambria" w:cs="Times New Roman"/>
          <w:bCs/>
          <w:i/>
        </w:rPr>
        <w:t>”</w:t>
      </w:r>
      <w:r w:rsidRPr="00F632A4">
        <w:rPr>
          <w:rFonts w:ascii="Cambria" w:hAnsi="Cambria" w:cs="Times New Roman"/>
          <w:i/>
        </w:rPr>
        <w:t xml:space="preserve">När det gäller skogshöns har det diskuterats en hel del om olika ingrepp kan påverka skogshönsen negativt. </w:t>
      </w:r>
      <w:r w:rsidRPr="00F632A4">
        <w:rPr>
          <w:rFonts w:ascii="Cambria" w:hAnsi="Cambria" w:cs="Times New Roman"/>
          <w:i/>
        </w:rPr>
        <w:lastRenderedPageBreak/>
        <w:t>I Naturvårdsverkets syntesrapport om vindkraftens påverkan på fåglar sägs att riskerna för påverkan på populationen av skogshöns är nästan obefintlig, men att lokal</w:t>
      </w:r>
    </w:p>
    <w:p w:rsidR="00F632A4" w:rsidRDefault="00F632A4" w:rsidP="00F632A4">
      <w:pPr>
        <w:autoSpaceDE w:val="0"/>
        <w:autoSpaceDN w:val="0"/>
        <w:adjustRightInd w:val="0"/>
        <w:spacing w:after="0" w:line="240" w:lineRule="auto"/>
        <w:rPr>
          <w:rFonts w:ascii="Cambria" w:hAnsi="Cambria" w:cs="Times New Roman"/>
          <w:i/>
        </w:rPr>
      </w:pPr>
      <w:r w:rsidRPr="00F632A4">
        <w:rPr>
          <w:rFonts w:ascii="Cambria" w:hAnsi="Cambria" w:cs="Times New Roman"/>
          <w:i/>
        </w:rPr>
        <w:t>påverkan möjligen kan förekomma. Fågelinventeringen i xx visar att tjäder och orre har god förekomst trots att området redan idag utnyttjas intensivt för skogsbruk och redan har en befintlig infrastruktur med skogsbilvägar. I den fördjupade rapporten om tjäderspelplatsen som xx har gjort, beskrivs att vilda fåglar har stor anpassningsförmåga på att skilja vad som utgör ett hot som vill döda dem och en funktion i landskapet som kan verka skrämmande, men som de efter en tid upptäcker inte utgör någon fara. Ett exempel är att den tunga trafiken från riksvägen hörs tydligt vid spelplatsen, men som tydligen inte har påverkat tupparna till att inte spela på platsen.”</w:t>
      </w:r>
    </w:p>
    <w:p w:rsidR="00BF46ED" w:rsidRDefault="00BF46ED" w:rsidP="00F632A4">
      <w:pPr>
        <w:autoSpaceDE w:val="0"/>
        <w:autoSpaceDN w:val="0"/>
        <w:adjustRightInd w:val="0"/>
        <w:spacing w:after="0" w:line="240" w:lineRule="auto"/>
        <w:rPr>
          <w:rFonts w:ascii="Cambria" w:hAnsi="Cambria" w:cs="Times New Roman"/>
          <w:i/>
        </w:rPr>
      </w:pPr>
    </w:p>
    <w:p w:rsidR="00BF46ED" w:rsidRDefault="00BF46ED" w:rsidP="00BF46ED">
      <w:pPr>
        <w:autoSpaceDE w:val="0"/>
        <w:autoSpaceDN w:val="0"/>
        <w:adjustRightInd w:val="0"/>
        <w:spacing w:after="0" w:line="240" w:lineRule="auto"/>
        <w:rPr>
          <w:rFonts w:ascii="Cambria" w:hAnsi="Cambria" w:cs="Times New Roman"/>
          <w:i/>
        </w:rPr>
      </w:pPr>
      <w:r>
        <w:rPr>
          <w:rFonts w:ascii="Cambria" w:hAnsi="Cambria" w:cs="Times New Roman"/>
        </w:rPr>
        <w:t xml:space="preserve">Tre olika naturvårdskonsulter har varit inblandade kring bedömningen av vindkraftens påverkan på tjäderlekplatsen. En av dessa skrev att: </w:t>
      </w:r>
      <w:r w:rsidRPr="00BF46ED">
        <w:rPr>
          <w:rFonts w:ascii="Cambria" w:hAnsi="Cambria" w:cs="Times New Roman"/>
          <w:i/>
        </w:rPr>
        <w:t>”Det är svårt att säga vid vilket avstånd till ett vindkraftverk som risken blir påtaglig för att spelplatsen kan påverkas negativt. Det viktigaste är dock att spelplatsens huvudsakliga kärnområde skyddas och att ett tillräckligt stort hänsynsområde kring spelplatsen inrättas. En exakt avgränsning av spelplatsområdet är liksom för orre inte möjligt att göra, men cirkeln som anges som undantagsområde för tjäderspelplats på kartan i detta PM motsvarar ett bedömt kärnområde för spelplatsen. Om vindkraftturbiner inte placeras närmare än 300 m från spelplatsens mittpunkt som den är markerad på kartan är min bedömning att tjäderspelplatsen med hög sannolikhet kan säkras ur vindkraftsperspektiv. Detta förslag på skyddsavstånd baseras på att spelets storlek och artens bevarandestatus i området till största delen är beroende av det omgivande landskapets lämplighet för artens hela livscykel och i mindre utsträckning av yttre störningar i närheten av spelplatsen. Som tidigare nämnts i rapporten från xx Expeditions bör inga anläggningsarbeten äga rum i närheten av spelplatsen under tjäderns spelperiod 1 april-15 maj.”</w:t>
      </w:r>
    </w:p>
    <w:p w:rsidR="00BF46ED" w:rsidRDefault="00BF46ED" w:rsidP="00BF46ED">
      <w:pPr>
        <w:autoSpaceDE w:val="0"/>
        <w:autoSpaceDN w:val="0"/>
        <w:adjustRightInd w:val="0"/>
        <w:spacing w:after="0" w:line="240" w:lineRule="auto"/>
        <w:rPr>
          <w:rFonts w:ascii="Cambria" w:hAnsi="Cambria" w:cs="Times New Roman"/>
          <w:i/>
        </w:rPr>
      </w:pPr>
    </w:p>
    <w:p w:rsidR="00131887" w:rsidRPr="00131887" w:rsidRDefault="00BF46ED" w:rsidP="00131887">
      <w:pPr>
        <w:autoSpaceDE w:val="0"/>
        <w:autoSpaceDN w:val="0"/>
        <w:adjustRightInd w:val="0"/>
        <w:spacing w:after="0" w:line="240" w:lineRule="auto"/>
        <w:rPr>
          <w:rFonts w:ascii="Cambria" w:hAnsi="Cambria" w:cs="Times New Roman"/>
        </w:rPr>
      </w:pPr>
      <w:r>
        <w:rPr>
          <w:rFonts w:ascii="Cambria" w:hAnsi="Cambria" w:cs="Times New Roman"/>
        </w:rPr>
        <w:t xml:space="preserve">Som kan konstateras utgörs de bedömningar som görs huvudsakligen av gissningar utan några tydliga referenser. </w:t>
      </w:r>
      <w:r w:rsidR="00131887">
        <w:rPr>
          <w:rFonts w:ascii="Cambria" w:hAnsi="Cambria" w:cs="Times New Roman"/>
        </w:rPr>
        <w:t xml:space="preserve">Det saknar t.ex. helt referenser eller kommentarer till </w:t>
      </w:r>
      <w:proofErr w:type="spellStart"/>
      <w:r w:rsidR="00131887" w:rsidRPr="00131887">
        <w:rPr>
          <w:rFonts w:ascii="Cambria" w:hAnsi="Cambria" w:cs="Times New Roman"/>
        </w:rPr>
        <w:t>Birdlife</w:t>
      </w:r>
      <w:proofErr w:type="spellEnd"/>
      <w:r w:rsidR="00131887" w:rsidRPr="00131887">
        <w:rPr>
          <w:rFonts w:ascii="Cambria" w:hAnsi="Cambria" w:cs="Times New Roman"/>
        </w:rPr>
        <w:t xml:space="preserve"> Sverige</w:t>
      </w:r>
      <w:r w:rsidR="00131887">
        <w:rPr>
          <w:rFonts w:ascii="Cambria" w:hAnsi="Cambria" w:cs="Times New Roman"/>
        </w:rPr>
        <w:t xml:space="preserve">s </w:t>
      </w:r>
      <w:r w:rsidR="00131887" w:rsidRPr="00131887">
        <w:rPr>
          <w:rFonts w:ascii="Cambria" w:hAnsi="Cambria" w:cs="Times New Roman"/>
        </w:rPr>
        <w:t xml:space="preserve"> </w:t>
      </w:r>
      <w:hyperlink r:id="rId17">
        <w:r w:rsidR="00131887" w:rsidRPr="00131887">
          <w:rPr>
            <w:rStyle w:val="Hyperlnk"/>
            <w:rFonts w:ascii="Cambria" w:hAnsi="Cambria" w:cs="Times New Roman"/>
          </w:rPr>
          <w:t>vindkraftspolicy</w:t>
        </w:r>
      </w:hyperlink>
      <w:r w:rsidR="00131887" w:rsidRPr="00131887">
        <w:rPr>
          <w:rFonts w:ascii="Cambria" w:hAnsi="Cambria" w:cs="Times New Roman"/>
        </w:rPr>
        <w:t xml:space="preserve"> </w:t>
      </w:r>
      <w:r w:rsidR="00131887">
        <w:rPr>
          <w:rFonts w:ascii="Cambria" w:hAnsi="Cambria" w:cs="Times New Roman"/>
        </w:rPr>
        <w:t xml:space="preserve">som bygger på bästa möjliga kunskap. Denna anger bl.a. </w:t>
      </w:r>
      <w:r w:rsidR="00131887" w:rsidRPr="00131887">
        <w:rPr>
          <w:rFonts w:ascii="Cambria" w:hAnsi="Cambria" w:cs="Times New Roman"/>
        </w:rPr>
        <w:t xml:space="preserve">att: </w:t>
      </w:r>
      <w:r w:rsidR="00131887" w:rsidRPr="00131887">
        <w:rPr>
          <w:rFonts w:ascii="Cambria" w:hAnsi="Cambria" w:cs="Times New Roman"/>
          <w:i/>
        </w:rPr>
        <w:t>”Spelplatser med många tuppar förknippas med gammelskog där generellt habitatskydd ska gälla, men tjädern förkommer även i mer ensartade skogar. Skyddszonen runt större spelplatser (minst 5 tuppar) ska uppgå till 1 000 m. Lokalt/regionalt i södra Sverige, där tjädern är fåtalig, bör även mindre spelplatser skyddas. Vistelseplatser för hönor och kycklingar, sankstråk med blåbärsris, har visat sig ha avgörande betydelse för ungarnas överlevnad och måste därmed också värnas.”</w:t>
      </w:r>
      <w:r w:rsidR="00131887" w:rsidRPr="00131887">
        <w:rPr>
          <w:rFonts w:ascii="Cambria" w:hAnsi="Cambria" w:cs="Times New Roman"/>
        </w:rPr>
        <w:t xml:space="preserve"> </w:t>
      </w:r>
    </w:p>
    <w:p w:rsidR="00131887" w:rsidRDefault="00131887" w:rsidP="00BF46ED">
      <w:pPr>
        <w:autoSpaceDE w:val="0"/>
        <w:autoSpaceDN w:val="0"/>
        <w:adjustRightInd w:val="0"/>
        <w:spacing w:after="0" w:line="240" w:lineRule="auto"/>
        <w:rPr>
          <w:rFonts w:ascii="Cambria" w:hAnsi="Cambria" w:cs="Times New Roman"/>
        </w:rPr>
      </w:pPr>
    </w:p>
    <w:p w:rsidR="00131887" w:rsidRDefault="00BF46ED" w:rsidP="00BF46ED">
      <w:pPr>
        <w:autoSpaceDE w:val="0"/>
        <w:autoSpaceDN w:val="0"/>
        <w:adjustRightInd w:val="0"/>
        <w:spacing w:after="0" w:line="240" w:lineRule="auto"/>
        <w:rPr>
          <w:rFonts w:ascii="Cambria" w:hAnsi="Cambria" w:cs="Times New Roman"/>
        </w:rPr>
      </w:pPr>
      <w:r>
        <w:rPr>
          <w:rFonts w:ascii="Cambria" w:hAnsi="Cambria" w:cs="Times New Roman"/>
        </w:rPr>
        <w:t xml:space="preserve">Detta skapar givetvis en stor osäkerhet kring hur faktiskt vindkraften kommer påverka denna och andra tjäderlekplatser. Det som är positivt i sammanhanget är att tillståndsmyndigheterna </w:t>
      </w:r>
      <w:r w:rsidR="00131887">
        <w:rPr>
          <w:rFonts w:ascii="Cambria" w:hAnsi="Cambria" w:cs="Times New Roman"/>
        </w:rPr>
        <w:t>beslutat att uppföljande inventeringar skall utföras 2022-2024.</w:t>
      </w:r>
    </w:p>
    <w:p w:rsidR="00131887" w:rsidRDefault="00131887" w:rsidP="00BF46ED">
      <w:pPr>
        <w:autoSpaceDE w:val="0"/>
        <w:autoSpaceDN w:val="0"/>
        <w:adjustRightInd w:val="0"/>
        <w:spacing w:after="0" w:line="240" w:lineRule="auto"/>
        <w:rPr>
          <w:rFonts w:ascii="Cambria" w:hAnsi="Cambria" w:cs="Times New Roman"/>
        </w:rPr>
      </w:pPr>
    </w:p>
    <w:p w:rsidR="00131887" w:rsidRDefault="000314D5" w:rsidP="00131887">
      <w:pPr>
        <w:autoSpaceDE w:val="0"/>
        <w:autoSpaceDN w:val="0"/>
        <w:adjustRightInd w:val="0"/>
        <w:spacing w:after="0" w:line="240" w:lineRule="auto"/>
        <w:rPr>
          <w:rFonts w:ascii="Cambria" w:hAnsi="Cambria"/>
        </w:rPr>
      </w:pPr>
      <w:r>
        <w:rPr>
          <w:rFonts w:ascii="Cambria" w:hAnsi="Cambria" w:cs="Times New Roman"/>
        </w:rPr>
        <w:t xml:space="preserve">Nyligen publicerades </w:t>
      </w:r>
      <w:r w:rsidR="00131887" w:rsidRPr="00131887">
        <w:rPr>
          <w:rFonts w:ascii="Cambria" w:hAnsi="Cambria"/>
        </w:rPr>
        <w:t>den sammanfattande syntesrapport</w:t>
      </w:r>
      <w:r>
        <w:rPr>
          <w:rStyle w:val="Fotnotsreferens"/>
          <w:rFonts w:ascii="Cambria" w:hAnsi="Cambria"/>
        </w:rPr>
        <w:footnoteReference w:id="1"/>
      </w:r>
      <w:r w:rsidR="00131887" w:rsidRPr="00131887">
        <w:rPr>
          <w:rFonts w:ascii="Cambria" w:hAnsi="Cambria"/>
        </w:rPr>
        <w:t xml:space="preserve"> kring vindkraft och tjäder som är gjord utan hänvisning sker till en delrapport inom projektet. Syntesrapporten konstaterar att:  </w:t>
      </w:r>
      <w:r w:rsidR="00131887" w:rsidRPr="00131887">
        <w:rPr>
          <w:rFonts w:ascii="Cambria" w:hAnsi="Cambria"/>
          <w:i/>
        </w:rPr>
        <w:t>”Studiens slutsatser är att en undanträngande tröskeleffekt kunde noteras vid avstånd mellan 650-875 meter från vindkraftverk. Författarna menar att dessa tröskelavstånd bör tillämpas vid hänsynsbedömningar generellt, speciellt där tjädern har lägre täthet och fläckvis förekomster. Författarna uppmanar att försiktighetsprincipen och att vindkraftverk närmare än 875 meter undviks i områden där tjädern har ogynnsam bevarandestatus.”</w:t>
      </w:r>
      <w:r w:rsidR="00131887" w:rsidRPr="00131887">
        <w:rPr>
          <w:rFonts w:ascii="Cambria" w:hAnsi="Cambria"/>
        </w:rPr>
        <w:t xml:space="preserve"> Naturvårdskonsulten gör  ingen bedömning kring bevarandestatusen för tjäder i ett regionalt perspektiv, vilket torde vara åberopat för att dra korrekta slutsatser i enlighet med syntesrapportens slutsatser. </w:t>
      </w:r>
    </w:p>
    <w:p w:rsidR="000314D5" w:rsidRDefault="000314D5" w:rsidP="00131887">
      <w:pPr>
        <w:autoSpaceDE w:val="0"/>
        <w:autoSpaceDN w:val="0"/>
        <w:adjustRightInd w:val="0"/>
        <w:spacing w:after="0" w:line="240" w:lineRule="auto"/>
        <w:rPr>
          <w:rFonts w:ascii="Cambria" w:hAnsi="Cambria"/>
        </w:rPr>
      </w:pPr>
    </w:p>
    <w:p w:rsidR="000314D5" w:rsidRPr="00131887" w:rsidRDefault="000314D5" w:rsidP="00131887">
      <w:pPr>
        <w:autoSpaceDE w:val="0"/>
        <w:autoSpaceDN w:val="0"/>
        <w:adjustRightInd w:val="0"/>
        <w:spacing w:after="0" w:line="240" w:lineRule="auto"/>
        <w:rPr>
          <w:rFonts w:ascii="Cambria" w:hAnsi="Cambria"/>
        </w:rPr>
      </w:pPr>
      <w:r>
        <w:rPr>
          <w:rFonts w:ascii="Cambria" w:hAnsi="Cambria"/>
        </w:rPr>
        <w:t>Det kan dock konstateras att beroende på vilken bedömning man gör av tjäderns regionala bevarandestatus borde två av vindkraftverken und</w:t>
      </w:r>
      <w:r w:rsidR="00AD3B99">
        <w:rPr>
          <w:rFonts w:ascii="Cambria" w:hAnsi="Cambria"/>
        </w:rPr>
        <w:t>vikit</w:t>
      </w:r>
      <w:r>
        <w:rPr>
          <w:rFonts w:ascii="Cambria" w:hAnsi="Cambria"/>
        </w:rPr>
        <w:t xml:space="preserve"> att placeras där de nu skall </w:t>
      </w:r>
      <w:r w:rsidR="00AD3B99">
        <w:rPr>
          <w:rFonts w:ascii="Cambria" w:hAnsi="Cambria"/>
        </w:rPr>
        <w:t>stå</w:t>
      </w:r>
      <w:r>
        <w:rPr>
          <w:rFonts w:ascii="Cambria" w:hAnsi="Cambria"/>
        </w:rPr>
        <w:t xml:space="preserve">. </w:t>
      </w:r>
    </w:p>
    <w:p w:rsidR="00A74DB3" w:rsidRDefault="00A74DB3">
      <w:r w:rsidRPr="00255F19">
        <w:rPr>
          <w:rFonts w:ascii="Cambria" w:hAnsi="Cambria"/>
          <w:noProof/>
          <w:lang w:eastAsia="sv-SE"/>
        </w:rPr>
        <w:lastRenderedPageBreak/>
        <w:drawing>
          <wp:inline distT="0" distB="0" distL="0" distR="0" wp14:anchorId="30C4435E" wp14:editId="745937ED">
            <wp:extent cx="5760720" cy="4320540"/>
            <wp:effectExtent l="0" t="0" r="0" b="3810"/>
            <wp:docPr id="9" name="Bildobjekt 9" descr="C:\Users\Christer Johansson\Dropbox\Artskydd i skogen\Tillfälliga filer\Fil 2021-08-29 19 54 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rister Johansson\Dropbox\Artskydd i skogen\Tillfälliga filer\Fil 2021-08-29 19 54 23.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2503E5" w:rsidRPr="002503E5" w:rsidRDefault="002503E5">
      <w:pPr>
        <w:rPr>
          <w:rFonts w:ascii="Cambria" w:hAnsi="Cambria"/>
        </w:rPr>
      </w:pPr>
      <w:r w:rsidRPr="002503E5">
        <w:rPr>
          <w:rFonts w:ascii="Cambria" w:hAnsi="Cambria"/>
        </w:rPr>
        <w:t xml:space="preserve">Bild från södra delen av det yttre upptagningsområdet. </w:t>
      </w:r>
      <w:r>
        <w:rPr>
          <w:rFonts w:ascii="Cambria" w:hAnsi="Cambria"/>
        </w:rPr>
        <w:t>Fina tjäderhabitat, men där man kan vel</w:t>
      </w:r>
      <w:r w:rsidR="0022061B">
        <w:rPr>
          <w:rFonts w:ascii="Cambria" w:hAnsi="Cambria"/>
        </w:rPr>
        <w:t xml:space="preserve">at önska en mer flerskiktad struktur på skogen. Blåbärsriset är dock rikligt </w:t>
      </w:r>
      <w:r w:rsidR="008622FA">
        <w:rPr>
          <w:rFonts w:ascii="Cambria" w:hAnsi="Cambria"/>
        </w:rPr>
        <w:t>förekommande</w:t>
      </w:r>
      <w:r w:rsidR="0022061B">
        <w:rPr>
          <w:rFonts w:ascii="Cambria" w:hAnsi="Cambria"/>
        </w:rPr>
        <w:t>.</w:t>
      </w:r>
      <w:r>
        <w:rPr>
          <w:rFonts w:ascii="Cambria" w:hAnsi="Cambria"/>
        </w:rPr>
        <w:t xml:space="preserve"> </w:t>
      </w:r>
    </w:p>
    <w:sectPr w:rsidR="002503E5" w:rsidRPr="002503E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D50" w:rsidRDefault="00BF5D50" w:rsidP="000314D5">
      <w:pPr>
        <w:spacing w:after="0" w:line="240" w:lineRule="auto"/>
      </w:pPr>
      <w:r>
        <w:separator/>
      </w:r>
    </w:p>
  </w:endnote>
  <w:endnote w:type="continuationSeparator" w:id="0">
    <w:p w:rsidR="00BF5D50" w:rsidRDefault="00BF5D50" w:rsidP="00031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D50" w:rsidRDefault="00BF5D50" w:rsidP="000314D5">
      <w:pPr>
        <w:spacing w:after="0" w:line="240" w:lineRule="auto"/>
      </w:pPr>
      <w:r>
        <w:separator/>
      </w:r>
    </w:p>
  </w:footnote>
  <w:footnote w:type="continuationSeparator" w:id="0">
    <w:p w:rsidR="00BF5D50" w:rsidRDefault="00BF5D50" w:rsidP="000314D5">
      <w:pPr>
        <w:spacing w:after="0" w:line="240" w:lineRule="auto"/>
      </w:pPr>
      <w:r>
        <w:continuationSeparator/>
      </w:r>
    </w:p>
  </w:footnote>
  <w:footnote w:id="1">
    <w:p w:rsidR="000314D5" w:rsidRPr="000314D5" w:rsidRDefault="000314D5" w:rsidP="000314D5">
      <w:pPr>
        <w:pStyle w:val="Fotnotstext"/>
        <w:rPr>
          <w:lang w:val="en-GB"/>
        </w:rPr>
      </w:pPr>
      <w:r>
        <w:rPr>
          <w:rStyle w:val="Fotnotsreferens"/>
        </w:rPr>
        <w:footnoteRef/>
      </w:r>
      <w:r w:rsidRPr="000314D5">
        <w:rPr>
          <w:lang w:val="en-GB"/>
        </w:rPr>
        <w:t xml:space="preserve"> </w:t>
      </w:r>
      <w:proofErr w:type="spellStart"/>
      <w:r w:rsidRPr="000314D5">
        <w:rPr>
          <w:lang w:val="en-GB"/>
        </w:rPr>
        <w:t>Capercaillie</w:t>
      </w:r>
      <w:proofErr w:type="spellEnd"/>
      <w:r w:rsidRPr="000314D5">
        <w:rPr>
          <w:lang w:val="en-GB"/>
        </w:rPr>
        <w:t xml:space="preserve"> and Wind Energy</w:t>
      </w:r>
      <w:r>
        <w:rPr>
          <w:lang w:val="en-GB"/>
        </w:rPr>
        <w:t xml:space="preserve">, </w:t>
      </w:r>
      <w:r w:rsidRPr="000314D5">
        <w:rPr>
          <w:lang w:val="en-GB"/>
        </w:rPr>
        <w:t>An international research project</w:t>
      </w:r>
      <w:r>
        <w:rPr>
          <w:lang w:val="en-GB"/>
        </w:rPr>
        <w:t xml:space="preserve">, </w:t>
      </w:r>
      <w:r w:rsidRPr="000314D5">
        <w:rPr>
          <w:lang w:val="en-GB"/>
        </w:rPr>
        <w:t xml:space="preserve">by Julia </w:t>
      </w:r>
      <w:proofErr w:type="spellStart"/>
      <w:r w:rsidRPr="000314D5">
        <w:rPr>
          <w:lang w:val="en-GB"/>
        </w:rPr>
        <w:t>Taubmann</w:t>
      </w:r>
      <w:proofErr w:type="spellEnd"/>
      <w:r w:rsidRPr="000314D5">
        <w:rPr>
          <w:lang w:val="en-GB"/>
        </w:rPr>
        <w:t xml:space="preserve">, Joy </w:t>
      </w:r>
      <w:proofErr w:type="spellStart"/>
      <w:r w:rsidRPr="000314D5">
        <w:rPr>
          <w:lang w:val="en-GB"/>
        </w:rPr>
        <w:t>Coppes</w:t>
      </w:r>
      <w:proofErr w:type="spellEnd"/>
      <w:r w:rsidRPr="000314D5">
        <w:rPr>
          <w:lang w:val="en-GB"/>
        </w:rPr>
        <w:t xml:space="preserve"> &amp; Henrik Andren</w:t>
      </w:r>
      <w:r>
        <w:rPr>
          <w:lang w:val="en-GB"/>
        </w:rPr>
        <w:t xml:space="preserve">, </w:t>
      </w:r>
      <w:proofErr w:type="spellStart"/>
      <w:r>
        <w:rPr>
          <w:lang w:val="en-GB"/>
        </w:rPr>
        <w:t>Vindval</w:t>
      </w:r>
      <w:proofErr w:type="spellEnd"/>
      <w:r>
        <w:rPr>
          <w:lang w:val="en-GB"/>
        </w:rPr>
        <w:t xml:space="preserve"> Rapport 6977, </w:t>
      </w:r>
      <w:proofErr w:type="spellStart"/>
      <w:r>
        <w:rPr>
          <w:lang w:val="en-GB"/>
        </w:rPr>
        <w:t>juni</w:t>
      </w:r>
      <w:proofErr w:type="spellEnd"/>
      <w:r>
        <w:rPr>
          <w:lang w:val="en-GB"/>
        </w:rPr>
        <w:t xml:space="preserve"> 2021 Naturvårdsverket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976"/>
    <w:rsid w:val="000314D5"/>
    <w:rsid w:val="000C2384"/>
    <w:rsid w:val="00131887"/>
    <w:rsid w:val="00134D4A"/>
    <w:rsid w:val="0022061B"/>
    <w:rsid w:val="002503E5"/>
    <w:rsid w:val="00255F19"/>
    <w:rsid w:val="002C3AC3"/>
    <w:rsid w:val="00437A75"/>
    <w:rsid w:val="00491C51"/>
    <w:rsid w:val="0051794C"/>
    <w:rsid w:val="00533976"/>
    <w:rsid w:val="0074156F"/>
    <w:rsid w:val="008622FA"/>
    <w:rsid w:val="008A1829"/>
    <w:rsid w:val="009E146A"/>
    <w:rsid w:val="00A30AC0"/>
    <w:rsid w:val="00A74DB3"/>
    <w:rsid w:val="00AD3B99"/>
    <w:rsid w:val="00BF46ED"/>
    <w:rsid w:val="00BF5D50"/>
    <w:rsid w:val="00F632A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178B0"/>
  <w15:chartTrackingRefBased/>
  <w15:docId w15:val="{85436B71-6102-40F3-BBB3-B915E343C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9E146A"/>
    <w:pPr>
      <w:spacing w:after="0" w:line="240" w:lineRule="auto"/>
    </w:pPr>
  </w:style>
  <w:style w:type="character" w:styleId="Hyperlnk">
    <w:name w:val="Hyperlink"/>
    <w:basedOn w:val="Standardstycketeckensnitt"/>
    <w:uiPriority w:val="99"/>
    <w:unhideWhenUsed/>
    <w:rsid w:val="00131887"/>
    <w:rPr>
      <w:color w:val="0563C1" w:themeColor="hyperlink"/>
      <w:u w:val="single"/>
    </w:rPr>
  </w:style>
  <w:style w:type="paragraph" w:styleId="Fotnotstext">
    <w:name w:val="footnote text"/>
    <w:basedOn w:val="Normal"/>
    <w:link w:val="FotnotstextChar"/>
    <w:uiPriority w:val="99"/>
    <w:semiHidden/>
    <w:unhideWhenUsed/>
    <w:rsid w:val="000314D5"/>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0314D5"/>
    <w:rPr>
      <w:sz w:val="20"/>
      <w:szCs w:val="20"/>
    </w:rPr>
  </w:style>
  <w:style w:type="character" w:styleId="Fotnotsreferens">
    <w:name w:val="footnote reference"/>
    <w:basedOn w:val="Standardstycketeckensnitt"/>
    <w:uiPriority w:val="99"/>
    <w:semiHidden/>
    <w:unhideWhenUsed/>
    <w:rsid w:val="000314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710030">
      <w:bodyDiv w:val="1"/>
      <w:marLeft w:val="0"/>
      <w:marRight w:val="0"/>
      <w:marTop w:val="0"/>
      <w:marBottom w:val="0"/>
      <w:divBdr>
        <w:top w:val="none" w:sz="0" w:space="0" w:color="auto"/>
        <w:left w:val="none" w:sz="0" w:space="0" w:color="auto"/>
        <w:bottom w:val="none" w:sz="0" w:space="0" w:color="auto"/>
        <w:right w:val="none" w:sz="0" w:space="0" w:color="auto"/>
      </w:divBdr>
    </w:div>
    <w:div w:id="12994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1.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hyperlink" Target="http://birdlife.se/sveriges-ornitologiska-forening/fagelskydd/vindkraft/vindkraftspolicy/"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B033A-0682-442F-B286-4F897EB7A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Pages>
  <Words>1271</Words>
  <Characters>6740</Characters>
  <Application>Microsoft Office Word</Application>
  <DocSecurity>0</DocSecurity>
  <Lines>56</Lines>
  <Paragraphs>15</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Johansson</dc:creator>
  <cp:keywords/>
  <dc:description/>
  <cp:lastModifiedBy>Christer Johansson</cp:lastModifiedBy>
  <cp:revision>10</cp:revision>
  <dcterms:created xsi:type="dcterms:W3CDTF">2021-08-29T17:55:00Z</dcterms:created>
  <dcterms:modified xsi:type="dcterms:W3CDTF">2021-08-31T19:43:00Z</dcterms:modified>
</cp:coreProperties>
</file>